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культурно-массовых мероприятий, посвященных празднованию Нового 2025 года и Рождества Христова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*в плане мероприятий возможны изменения, информацию необходимо уточнять у организаторов мероприятий</w:t>
      </w:r>
    </w:p>
    <w:p>
      <w:pPr>
        <w:jc w:val="center"/>
        <w:rPr>
          <w:sz w:val="24"/>
          <w:szCs w:val="24"/>
        </w:rPr>
      </w:pPr>
    </w:p>
    <w:tbl>
      <w:tblPr>
        <w:tblW w:w="15053" w:type="dxa"/>
        <w:tblInd w:w="-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084"/>
        <w:gridCol w:w="3729"/>
        <w:gridCol w:w="5464"/>
        <w:gridCol w:w="1984"/>
      </w:tblGrid>
      <w:tr>
        <w:tc>
          <w:tcPr>
            <w:tcW w:w="792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3084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3729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проведения</w:t>
            </w:r>
          </w:p>
        </w:tc>
        <w:tc>
          <w:tcPr>
            <w:tcW w:w="5464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населения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представление для детей «Как Баба Яга себя перехитрила»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17.12.2024-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«Искра»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Академика Веденеева, 54)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представление «Ёлка в гости к нам зовёт»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19.12.2024, 22.12.2024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«Альянс»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Генерала Доватора, 1)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«Новогодний </w:t>
            </w:r>
            <w:r>
              <w:rPr>
                <w:sz w:val="24"/>
                <w:szCs w:val="24"/>
              </w:rPr>
              <w:t xml:space="preserve">движ</w:t>
            </w:r>
            <w:r>
              <w:rPr>
                <w:sz w:val="24"/>
                <w:szCs w:val="24"/>
              </w:rPr>
              <w:t xml:space="preserve">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«Альянс»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Генерала Доватора, 1)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вечер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им. А.С. Пушкина»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Александра Щербакова, 33)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кукольный спектакль «Новогодний переполох»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«ОМБ» Модельная библиотека № 8 им. Н.А. Островского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Гайвинская, 6)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вечер «Ах, это танго»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им. А.С. Пушкина»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Александра Щербакова, 33)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новогодняя программа «Новогодние приключения Снеговиков»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21.12.2024-22.12.2024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«Клуб имени Златогорского»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Трясолобова, 105)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новогодний спектакль «Чудо-Ёлка»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13.00-14.30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13.00-14.30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16.00-15.30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«Родина»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Репина, 20)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вокруг ёлки «Зажигай»</w:t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заявкам)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«Родина»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Вильямса, 1)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с просмотром фильма «</w:t>
            </w:r>
            <w:r>
              <w:rPr>
                <w:sz w:val="24"/>
                <w:szCs w:val="24"/>
              </w:rPr>
              <w:t xml:space="preserve">КиноЁЛКА</w:t>
            </w:r>
            <w:r>
              <w:rPr>
                <w:sz w:val="24"/>
                <w:szCs w:val="24"/>
              </w:rPr>
              <w:t xml:space="preserve">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заявкам)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14.00-15.30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«Родина»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Вильямса, 1)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Новогодние представления для детей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28.12.2024-29.12.2024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им. А.С. Пушкина»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Александра Щербакова, 33)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новогодняя программа «Под бой курантов»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19.00-00.00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«Родина»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Репина, 20)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отдыха для молодёжи «Новогодний звездопад»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«Альянс»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Генерала Доватора, 1)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Молодёжь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новогодняя программа «</w:t>
            </w:r>
            <w:r>
              <w:rPr>
                <w:sz w:val="24"/>
                <w:szCs w:val="24"/>
              </w:rPr>
              <w:t xml:space="preserve">ОливьеШОУ</w:t>
            </w:r>
            <w:r>
              <w:rPr>
                <w:sz w:val="24"/>
                <w:szCs w:val="24"/>
              </w:rPr>
              <w:t xml:space="preserve">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19.00-00.00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«Родина»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Репина, 20)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ночь под куполом дворца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«Искра»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Академика Веденеева, 54)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игровая программа «Уличные забавы вокруг ёлки»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05.01.2025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Черняховский квартал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программа, посвященная празднованию Рождества Христова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07.01.2025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«Искра»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Академика Веденеева, 54)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программа, посвященная встрече Рождества Христова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07.01.2025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им. А.П. Чехова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Репина, 20)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Рождественский концерт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08.01.2025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им. А.С. Пушкина»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Александра Щербакова, 33)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Рождественские посиделки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09.01.2025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«Центр досуга «Альянс»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Генерала Доватора, 1)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микрорайона</w:t>
            </w:r>
          </w:p>
        </w:tc>
      </w:tr>
      <w:tr>
        <w:tc>
          <w:tcPr>
            <w:tcW w:w="792" w:type="dxa"/>
            <w:shd w:val="clear" w:color="auto" w:fill="auto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Театрализованный концерт «Снежная королева»</w:t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</w:t>
            </w:r>
          </w:p>
        </w:tc>
        <w:tc>
          <w:tcPr>
            <w:tcW w:w="546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«Искра»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Академика Веденеева, 54)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</w:t>
            </w:r>
          </w:p>
        </w:tc>
      </w:tr>
      <w:tr>
        <w:trPr>
          <w:trHeight w:val="276"/>
        </w:trPr>
        <w:tc>
          <w:tcPr>
            <w:tcW w:w="792" w:type="dxa"/>
            <w:shd w:val="clear" w:color="ffffff" w:fill="ffffff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Новогодние детские представления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21.12.2024  (</w:t>
            </w:r>
            <w:r>
              <w:rPr>
                <w:color w:val="000000"/>
                <w:sz w:val="24"/>
                <w:szCs w:val="24"/>
              </w:rPr>
              <w:t xml:space="preserve">суббота)        11.00; 13.30</w:t>
            </w:r>
          </w:p>
        </w:tc>
        <w:tc>
          <w:tcPr>
            <w:tcW w:w="5464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 </w:t>
            </w:r>
            <w:r>
              <w:rPr>
                <w:color w:val="000000"/>
                <w:sz w:val="24"/>
                <w:szCs w:val="24"/>
              </w:rPr>
              <w:t xml:space="preserve">Бумажник  </w:t>
            </w:r>
            <w:r>
              <w:rPr>
                <w:color w:val="000000"/>
                <w:sz w:val="24"/>
                <w:szCs w:val="24"/>
              </w:rPr>
              <w:t xml:space="preserve">рительный</w:t>
            </w:r>
            <w:r>
              <w:rPr>
                <w:color w:val="000000"/>
                <w:sz w:val="24"/>
                <w:szCs w:val="24"/>
              </w:rPr>
              <w:t xml:space="preserve"> и танцевальный зал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  <w:tr>
        <w:trPr>
          <w:trHeight w:val="276"/>
        </w:trPr>
        <w:tc>
          <w:tcPr>
            <w:tcW w:w="792" w:type="dxa"/>
            <w:shd w:val="clear" w:color="ffffff" w:fill="ffffff"/>
          </w:tcPr>
          <w:p>
            <w:pPr>
              <w:pStyle w:val="afb"/>
              <w:numPr>
                <w:numId w:val="1"/>
                <w:ilvl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ffffff" w:fill="ffffff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Новогодние детские представления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 билетам)</w:t>
            </w:r>
          </w:p>
        </w:tc>
        <w:tc>
          <w:tcPr>
            <w:tcW w:w="3729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22.12.2024 (</w:t>
            </w:r>
            <w:r>
              <w:rPr>
                <w:color w:val="000000"/>
                <w:sz w:val="24"/>
                <w:szCs w:val="24"/>
              </w:rPr>
              <w:t xml:space="preserve">воскресенье)   </w:t>
            </w:r>
            <w:r>
              <w:rPr>
                <w:color w:val="000000"/>
                <w:sz w:val="24"/>
                <w:szCs w:val="24"/>
              </w:rPr>
              <w:t xml:space="preserve">    11.00; 13.30; 16.00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 </w:t>
            </w:r>
            <w:r>
              <w:rPr>
                <w:color w:val="000000"/>
                <w:sz w:val="24"/>
                <w:szCs w:val="24"/>
              </w:rPr>
              <w:t xml:space="preserve">Бумажник  зрительный</w:t>
            </w:r>
            <w:r>
              <w:rPr>
                <w:color w:val="000000"/>
                <w:sz w:val="24"/>
                <w:szCs w:val="24"/>
              </w:rPr>
              <w:t xml:space="preserve"> и танцевальный зал</w:t>
            </w:r>
          </w:p>
        </w:tc>
        <w:tc>
          <w:tcPr>
            <w:tcW w:w="1984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в учреждениях спорта</w:t>
      </w:r>
      <w:r>
        <w:rPr>
          <w:b/>
          <w:sz w:val="24"/>
          <w:szCs w:val="24"/>
        </w:rPr>
        <w:t xml:space="preserve">, посвященных празднованию Нового 2025 года и Рождества Христова</w:t>
      </w:r>
    </w:p>
    <w:p>
      <w:pPr>
        <w:jc w:val="center"/>
        <w:rPr>
          <w:sz w:val="24"/>
          <w:szCs w:val="24"/>
        </w:rPr>
      </w:pPr>
    </w:p>
    <w:p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*в плане мероприятий возможны изменения, информацию необходимо уточнять у организаторов мероприятий</w:t>
      </w:r>
    </w:p>
    <w:p>
      <w:pPr>
        <w:rPr>
          <w:sz w:val="24"/>
          <w:szCs w:val="24"/>
        </w:rPr>
      </w:pPr>
    </w:p>
    <w:tbl>
      <w:tblPr>
        <w:tblW w:w="15202" w:type="dxa"/>
        <w:tblInd w:w="-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793"/>
        <w:gridCol w:w="3046"/>
        <w:gridCol w:w="5529"/>
        <w:gridCol w:w="1842"/>
      </w:tblGrid>
      <w:tr>
        <w:tc>
          <w:tcPr>
            <w:tcW w:w="992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3793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3046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проведения</w:t>
            </w:r>
          </w:p>
        </w:tc>
        <w:tc>
          <w:tcPr>
            <w:tcW w:w="5529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населения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соревнования по спортивной аэробике на призы Деда Мороза </w:t>
            </w:r>
          </w:p>
        </w:tc>
        <w:tc>
          <w:tcPr>
            <w:tcW w:w="304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Физкультурно-спортивный центр «Молодежный»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Академика Веденеева, 25)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бадминтону, посвященные Новому году и Рождеству</w:t>
            </w:r>
          </w:p>
        </w:tc>
        <w:tc>
          <w:tcPr>
            <w:tcW w:w="304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Физкультурно-спортивный центр «Молодежный»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Академика Веденеева, 25)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дзюдо, посвященные Новому году</w:t>
            </w:r>
          </w:p>
        </w:tc>
        <w:tc>
          <w:tcPr>
            <w:tcW w:w="304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«СШОР «Темп»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Генерала Доватора, 1)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по хоккею «Золотая шайба»</w:t>
            </w:r>
          </w:p>
        </w:tc>
        <w:tc>
          <w:tcPr>
            <w:tcW w:w="304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05.01.2025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«Гайва»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Карбышева, 52)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города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по хоккею среди взрослых</w:t>
            </w:r>
          </w:p>
        </w:tc>
        <w:tc>
          <w:tcPr>
            <w:tcW w:w="304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06.01.2025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«Гайва»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Карбышева, 52)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города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в учреждениях образования, посвященных празднованию Нового 2025 года и Рождества Христова</w:t>
      </w:r>
    </w:p>
    <w:p>
      <w:pPr>
        <w:jc w:val="center"/>
        <w:rPr>
          <w:sz w:val="24"/>
          <w:szCs w:val="24"/>
        </w:rPr>
      </w:pPr>
    </w:p>
    <w:p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*в плане мероприятий возможны изменения, информацию необходимо уточнять у организаторов мероприятий</w:t>
      </w:r>
    </w:p>
    <w:p>
      <w:pPr>
        <w:rPr>
          <w:sz w:val="24"/>
          <w:szCs w:val="24"/>
        </w:rPr>
      </w:pPr>
    </w:p>
    <w:tbl>
      <w:tblPr>
        <w:tblW w:w="15593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2835"/>
        <w:gridCol w:w="5529"/>
        <w:gridCol w:w="1842"/>
      </w:tblGrid>
      <w:tr>
        <w:tc>
          <w:tcPr>
            <w:tcW w:w="992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4395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проведения</w:t>
            </w:r>
          </w:p>
        </w:tc>
        <w:tc>
          <w:tcPr>
            <w:tcW w:w="5529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a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населения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</w:t>
            </w:r>
          </w:p>
        </w:tc>
        <w:tc>
          <w:tcPr>
            <w:tcW w:w="439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театрализованное представление</w:t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 платной основе)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27.12.2024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«Детско-юношеский центр «Фаворит»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Щербакова, 44)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</w:t>
            </w:r>
          </w:p>
        </w:tc>
        <w:tc>
          <w:tcPr>
            <w:tcW w:w="439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лыжным гонкам на призы Деда Мороза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30.12.2024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«Детско-юношеский центр «Фаворит»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Репина, 69)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</w:t>
            </w:r>
          </w:p>
        </w:tc>
        <w:tc>
          <w:tcPr>
            <w:tcW w:w="439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турнир по футболу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«Детско-юношеский центр «Фаворит»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Лобвинская, 11)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</w:t>
            </w:r>
          </w:p>
        </w:tc>
        <w:tc>
          <w:tcPr>
            <w:tcW w:w="439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Деда Мороза по баскетболу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«Детско-юношеский центр «Фаворит»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Лобвинская, 11)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</w:t>
            </w:r>
          </w:p>
        </w:tc>
      </w:tr>
    </w:tbl>
    <w:p>
      <w:pPr>
        <w:rPr>
          <w:sz w:val="24"/>
          <w:szCs w:val="24"/>
        </w:rPr>
      </w:pPr>
    </w:p>
    <w:sectPr>
      <w:footerReference w:type="first" r:id="rId9"/>
      <w:pgSz w:w="16838" w:h="11906" w:orient="landscape"/>
      <w:pgMar w:top="567" w:right="850" w:bottom="1134" w:left="1701" w:header="284" w:footer="68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3E0961A">
      <w:start w:val="1"/>
      <w:numFmt w:val="decimal"/>
      <w:lvlText w:val="%1."/>
      <w:lvlJc w:val="left"/>
      <w:pPr>
        <w:ind w:left="720" w:hanging="360"/>
      </w:pPr>
    </w:lvl>
    <w:lvl w:ilvl="1" w:tplc="0A1AE76E">
      <w:start w:val="1"/>
      <w:numFmt w:val="lowerLetter"/>
      <w:lvlText w:val="%2."/>
      <w:lvlJc w:val="left"/>
      <w:pPr>
        <w:ind w:left="1440" w:hanging="360"/>
      </w:pPr>
    </w:lvl>
    <w:lvl w:ilvl="2" w:tplc="FD6C9BC2">
      <w:start w:val="1"/>
      <w:numFmt w:val="lowerRoman"/>
      <w:lvlText w:val="%3."/>
      <w:lvlJc w:val="right"/>
      <w:pPr>
        <w:ind w:left="2160" w:hanging="180"/>
      </w:pPr>
    </w:lvl>
    <w:lvl w:ilvl="3" w:tplc="F34408DC">
      <w:start w:val="1"/>
      <w:numFmt w:val="decimal"/>
      <w:lvlText w:val="%4."/>
      <w:lvlJc w:val="left"/>
      <w:pPr>
        <w:ind w:left="2880" w:hanging="360"/>
      </w:pPr>
    </w:lvl>
    <w:lvl w:ilvl="4" w:tplc="654ECF5A">
      <w:start w:val="1"/>
      <w:numFmt w:val="lowerLetter"/>
      <w:lvlText w:val="%5."/>
      <w:lvlJc w:val="left"/>
      <w:pPr>
        <w:ind w:left="3600" w:hanging="360"/>
      </w:pPr>
    </w:lvl>
    <w:lvl w:ilvl="5" w:tplc="5560DC1E">
      <w:start w:val="1"/>
      <w:numFmt w:val="lowerRoman"/>
      <w:lvlText w:val="%6."/>
      <w:lvlJc w:val="right"/>
      <w:pPr>
        <w:ind w:left="4320" w:hanging="180"/>
      </w:pPr>
    </w:lvl>
    <w:lvl w:ilvl="6" w:tplc="ECF07566">
      <w:start w:val="1"/>
      <w:numFmt w:val="decimal"/>
      <w:lvlText w:val="%7."/>
      <w:lvlJc w:val="left"/>
      <w:pPr>
        <w:ind w:left="5040" w:hanging="360"/>
      </w:pPr>
    </w:lvl>
    <w:lvl w:ilvl="7" w:tplc="3C840400">
      <w:start w:val="1"/>
      <w:numFmt w:val="lowerLetter"/>
      <w:lvlText w:val="%8."/>
      <w:lvlJc w:val="left"/>
      <w:pPr>
        <w:ind w:left="5760" w:hanging="360"/>
      </w:pPr>
    </w:lvl>
    <w:lvl w:ilvl="8" w:tplc="BEC639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82988F96">
      <w:start w:val="1"/>
      <w:numFmt w:val="decimal"/>
      <w:lvlText w:val="%1."/>
      <w:lvlJc w:val="left"/>
      <w:pPr>
        <w:ind w:left="720" w:hanging="360"/>
      </w:pPr>
    </w:lvl>
    <w:lvl w:ilvl="1" w:tplc="1122A9C2">
      <w:start w:val="1"/>
      <w:numFmt w:val="lowerLetter"/>
      <w:lvlText w:val="%2."/>
      <w:lvlJc w:val="left"/>
      <w:pPr>
        <w:ind w:left="1440" w:hanging="360"/>
      </w:pPr>
    </w:lvl>
    <w:lvl w:ilvl="2" w:tplc="E852534A">
      <w:start w:val="1"/>
      <w:numFmt w:val="lowerRoman"/>
      <w:lvlText w:val="%3."/>
      <w:lvlJc w:val="right"/>
      <w:pPr>
        <w:ind w:left="2160" w:hanging="180"/>
      </w:pPr>
    </w:lvl>
    <w:lvl w:ilvl="3" w:tplc="B4AA84E8">
      <w:start w:val="1"/>
      <w:numFmt w:val="decimal"/>
      <w:lvlText w:val="%4."/>
      <w:lvlJc w:val="left"/>
      <w:pPr>
        <w:ind w:left="2880" w:hanging="360"/>
      </w:pPr>
    </w:lvl>
    <w:lvl w:ilvl="4" w:tplc="5276DBCA">
      <w:start w:val="1"/>
      <w:numFmt w:val="lowerLetter"/>
      <w:lvlText w:val="%5."/>
      <w:lvlJc w:val="left"/>
      <w:pPr>
        <w:ind w:left="3600" w:hanging="360"/>
      </w:pPr>
    </w:lvl>
    <w:lvl w:ilvl="5" w:tplc="5F385A8C">
      <w:start w:val="1"/>
      <w:numFmt w:val="lowerRoman"/>
      <w:lvlText w:val="%6."/>
      <w:lvlJc w:val="right"/>
      <w:pPr>
        <w:ind w:left="4320" w:hanging="180"/>
      </w:pPr>
    </w:lvl>
    <w:lvl w:ilvl="6" w:tplc="4A0400F8">
      <w:start w:val="1"/>
      <w:numFmt w:val="decimal"/>
      <w:lvlText w:val="%7."/>
      <w:lvlJc w:val="left"/>
      <w:pPr>
        <w:ind w:left="5040" w:hanging="360"/>
      </w:pPr>
    </w:lvl>
    <w:lvl w:ilvl="7" w:tplc="8E0032E6">
      <w:start w:val="1"/>
      <w:numFmt w:val="lowerLetter"/>
      <w:lvlText w:val="%8."/>
      <w:lvlJc w:val="left"/>
      <w:pPr>
        <w:ind w:left="5760" w:hanging="360"/>
      </w:pPr>
    </w:lvl>
    <w:lvl w:ilvl="8" w:tplc="1DD605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character" w:styleId="FooterChar" w:customStyle="1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styleId="af8" w:customStyle="1">
    <w:name w:val="Нижний колонтитул Знак"/>
    <w:basedOn w:val="a0"/>
    <w:link w:val="af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Pr>
      <w:sz w:val="28"/>
    </w:rPr>
  </w:style>
  <w:style w:type="character" w:styleId="afa" w:customStyle="1">
    <w:name w:val="Основной текст Знак"/>
    <w:basedOn w:val="a0"/>
    <w:link w:val="af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4860</Characters>
  <CharactersWithSpaces>5701</CharactersWithSpaces>
  <Company/>
  <DocSecurity>0</DocSecurity>
  <HyperlinksChanged>false</HyperlinksChanged>
  <Lines>40</Lines>
  <LinksUpToDate>false</LinksUpToDate>
  <Pages>5</Pages>
  <Paragraphs>11</Paragraphs>
  <ScaleCrop>false</ScaleCrop>
  <SharedDoc>false</SharedDoc>
  <Template>Normal</Template>
  <TotalTime>2</TotalTime>
  <Words>852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Ядвиго Людмила Владимировна</cp:lastModifiedBy>
  <cp:revision>2</cp:revision>
  <dcterms:created xsi:type="dcterms:W3CDTF">2024-12-17T14:04:00Z</dcterms:created>
  <dcterms:modified xsi:type="dcterms:W3CDTF">2024-12-17T14:04:00Z</dcterms:modified>
</cp:coreProperties>
</file>