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5"/>
        <w:spacing w:line="240" w:lineRule="auto"/>
        <w:contextualSpacing/>
        <w:rPr>
          <w:szCs w:val="28"/>
        </w:rPr>
      </w:pPr>
      <w:bookmarkStart w:id="0" w:name="_GoBack"/>
      <w:bookmarkEnd w:id="0"/>
      <w:r>
        <w:rPr>
          <w:szCs w:val="28"/>
        </w:rPr>
        <w:t xml:space="preserve">Информация за 2015 год </w:t>
      </w:r>
    </w:p>
    <w:p>
      <w:pPr>
        <w:pStyle w:val="a5"/>
        <w:spacing w:line="240" w:lineRule="auto"/>
        <w:contextualSpacing/>
        <w:rPr>
          <w:szCs w:val="28"/>
        </w:rPr>
      </w:pPr>
    </w:p>
    <w:p>
      <w:pPr>
        <w:pStyle w:val="a5"/>
        <w:spacing w:line="240" w:lineRule="auto"/>
        <w:contextualSpacing/>
        <w:rPr>
          <w:szCs w:val="28"/>
        </w:rPr>
      </w:pPr>
      <w:r>
        <w:rPr>
          <w:szCs w:val="28"/>
        </w:rPr>
        <w:t xml:space="preserve">В 2015 году в администрации города Перми, функциональных </w:t>
      </w:r>
      <w:r>
        <w:rPr>
          <w:szCs w:val="28"/>
        </w:rPr>
        <w:br/>
        <w:t xml:space="preserve">и территориальных органах администрации города Перми проведены </w:t>
      </w:r>
      <w:r>
        <w:rPr>
          <w:szCs w:val="28"/>
        </w:rPr>
        <w:br/>
        <w:t>57 заседаний Комиссий, на которых рассмотрены   материалы в отношении 154 муниципальных служащих, из них:</w:t>
      </w:r>
    </w:p>
    <w:p>
      <w:pPr>
        <w:pStyle w:val="a5"/>
        <w:spacing w:line="240" w:lineRule="auto"/>
        <w:contextualSpacing/>
        <w:rPr>
          <w:szCs w:val="28"/>
        </w:rPr>
      </w:pPr>
      <w:r>
        <w:rPr>
          <w:szCs w:val="28"/>
        </w:rPr>
        <w:t xml:space="preserve">124 материала по вопросам представления муниципальными служащими недостоверных или неполных сведений о доходах, об имуществе и обязательствах имущественного характера; </w:t>
      </w:r>
    </w:p>
    <w:p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материалов по вопросу несоблюдения муниципальным служащим требований </w:t>
      </w:r>
      <w:r>
        <w:rPr>
          <w:rFonts w:ascii="Times New Roman" w:hAnsi="Times New Roman" w:cs="Times New Roman"/>
          <w:sz w:val="28"/>
          <w:szCs w:val="28"/>
        </w:rPr>
        <w:br/>
        <w:t>к служебному поведению и (или) требований об урегулировании конфликта интересов;</w:t>
      </w:r>
    </w:p>
    <w:p>
      <w:pPr>
        <w:pStyle w:val="ConsPlusNormal"/>
        <w:ind w:firstLine="709"/>
        <w:jc w:val="both"/>
      </w:pPr>
      <w:r>
        <w:t xml:space="preserve">18 материалов по вопросам рассмотрения уведомлений, поступивших  </w:t>
      </w:r>
      <w:r>
        <w:br/>
        <w:t xml:space="preserve">от работодателей, о заключении с гражданином, замещавшим </w:t>
      </w:r>
      <w:r>
        <w:br/>
        <w:t xml:space="preserve">в муниципальном органе должность муниципальной службы, включенную </w:t>
      </w:r>
      <w:r>
        <w:br/>
        <w:t xml:space="preserve">в перечень должностей, утвержденный нормативным правовым актом города Перми, трудового договора на замещение должности в организации и (или) гражданско-правового договора (гражданско-правовых договоров) </w:t>
      </w:r>
      <w:r>
        <w:br/>
        <w:t>на выполнение работ в данной организации (оказание данной организации услуг), если отдельные функции управления этой организацией входили в его должностные (служебные) обязанности, исполняемые во время замещения должности в муниципальном органе;</w:t>
      </w:r>
    </w:p>
    <w:p>
      <w:pPr>
        <w:pStyle w:val="a5"/>
        <w:spacing w:line="240" w:lineRule="auto"/>
        <w:contextualSpacing/>
        <w:rPr>
          <w:szCs w:val="28"/>
        </w:rPr>
      </w:pPr>
      <w:r>
        <w:rPr>
          <w:szCs w:val="28"/>
        </w:rPr>
        <w:t xml:space="preserve">3 материала по рассмотрению вопросов невозможности представления </w:t>
      </w:r>
      <w:r>
        <w:rPr>
          <w:szCs w:val="28"/>
        </w:rPr>
        <w:br/>
        <w:t xml:space="preserve">по объективным причинам сведений о доходах, расходах, об имуществе </w:t>
      </w:r>
      <w:r>
        <w:rPr>
          <w:szCs w:val="28"/>
        </w:rPr>
        <w:br/>
        <w:t>и обязательствах имущественного характера супруга (супруги).</w:t>
      </w:r>
    </w:p>
    <w:p>
      <w:pPr>
        <w:pStyle w:val="a5"/>
        <w:spacing w:line="240" w:lineRule="auto"/>
        <w:contextualSpacing/>
        <w:rPr>
          <w:szCs w:val="28"/>
        </w:rPr>
      </w:pPr>
      <w:r>
        <w:rPr>
          <w:szCs w:val="28"/>
        </w:rPr>
        <w:t xml:space="preserve">По итогам рассмотрения материалов на заседаниях Комиссий </w:t>
      </w:r>
      <w:r>
        <w:rPr>
          <w:szCs w:val="28"/>
        </w:rPr>
        <w:br/>
        <w:t>17 муниципальных служащих привлечены к дисциплинарной ответственности.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99C06-7372-451C-8808-F91F8748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Стампель Наталья Николаевна</cp:lastModifiedBy>
  <cp:revision>3</cp:revision>
  <dcterms:created xsi:type="dcterms:W3CDTF">2016-03-10T05:58:00Z</dcterms:created>
  <dcterms:modified xsi:type="dcterms:W3CDTF">2016-03-11T06:42:00Z</dcterms:modified>
</cp:coreProperties>
</file>