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64" w:rsidRDefault="00595483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502791680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A3264" w:rsidRDefault="00595483">
                            <w:pPr>
                              <w:pStyle w:val="af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514350"/>
                                  <wp:effectExtent l="0" t="0" r="0" b="0"/>
                                  <wp:docPr id="2" name="_x0000_i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3264" w:rsidRDefault="00595483">
                            <w:pPr>
                              <w:pStyle w:val="af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EA3264" w:rsidRDefault="00EA326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A3264" w:rsidRDefault="00595483">
                            <w:pPr>
                              <w:pStyle w:val="af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УПРАВЛЕНИЯ </w:t>
                            </w:r>
                          </w:p>
                          <w:p w:rsidR="00EA3264" w:rsidRDefault="00595483">
                            <w:pPr>
                              <w:pStyle w:val="af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ЖИЛИЩНЫХ ОТНОШЕНИЙ</w:t>
                            </w:r>
                          </w:p>
                          <w:p w:rsidR="00EA3264" w:rsidRDefault="00EA326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A3264" w:rsidRDefault="005954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 Р И К А З</w:t>
                            </w:r>
                          </w:p>
                          <w:p w:rsidR="00EA3264" w:rsidRDefault="00EA326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A3264" w:rsidRDefault="00EA326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EA3264" w:rsidRDefault="00EA3264">
                            <w:pPr>
                              <w:pStyle w:val="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1.5pt;margin-top:12.85pt;width:494.95pt;height:140.7pt;z-index:5027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" stroked="f">
                <v:textbox inset="0,0,0,0">
                  <w:txbxContent>
                    <w:p w:rsidR="00EA3264" w:rsidRDefault="00595483">
                      <w:pPr>
                        <w:pStyle w:val="af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514350"/>
                            <wp:effectExtent l="0" t="0" r="0" b="0"/>
                            <wp:docPr id="2" name="_x0000_i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3264" w:rsidRDefault="00595483">
                      <w:pPr>
                        <w:pStyle w:val="af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EA3264" w:rsidRDefault="00EA3264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A3264" w:rsidRDefault="00595483">
                      <w:pPr>
                        <w:pStyle w:val="af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УПРАВЛЕНИЯ </w:t>
                      </w:r>
                    </w:p>
                    <w:p w:rsidR="00EA3264" w:rsidRDefault="00595483">
                      <w:pPr>
                        <w:pStyle w:val="af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ЖИЛИЩНЫХ ОТНОШЕНИЙ</w:t>
                      </w:r>
                    </w:p>
                    <w:p w:rsidR="00EA3264" w:rsidRDefault="00EA3264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A3264" w:rsidRDefault="005954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 Р И К А З</w:t>
                      </w:r>
                    </w:p>
                    <w:p w:rsidR="00EA3264" w:rsidRDefault="00EA3264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A3264" w:rsidRDefault="00EA3264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:rsidR="00EA3264" w:rsidRDefault="00EA3264">
                      <w:pPr>
                        <w:pStyle w:val="2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A3264" w:rsidRDefault="00EA3264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EA3264" w:rsidRDefault="00EA3264">
      <w:pPr>
        <w:jc w:val="both"/>
        <w:rPr>
          <w:sz w:val="24"/>
          <w:lang w:val="en-US"/>
        </w:rPr>
      </w:pPr>
    </w:p>
    <w:p w:rsidR="00EA3264" w:rsidRDefault="00EA3264">
      <w:pPr>
        <w:jc w:val="both"/>
        <w:rPr>
          <w:sz w:val="24"/>
        </w:rPr>
      </w:pPr>
    </w:p>
    <w:p w:rsidR="00EA3264" w:rsidRDefault="00EA3264">
      <w:pPr>
        <w:jc w:val="both"/>
        <w:rPr>
          <w:sz w:val="24"/>
        </w:rPr>
      </w:pPr>
    </w:p>
    <w:p w:rsidR="00EA3264" w:rsidRDefault="00EA3264">
      <w:pPr>
        <w:jc w:val="both"/>
        <w:rPr>
          <w:sz w:val="24"/>
        </w:rPr>
      </w:pPr>
    </w:p>
    <w:p w:rsidR="00EA3264" w:rsidRDefault="00EA3264">
      <w:pPr>
        <w:jc w:val="both"/>
        <w:rPr>
          <w:sz w:val="24"/>
        </w:rPr>
      </w:pPr>
    </w:p>
    <w:p w:rsidR="00EA3264" w:rsidRDefault="0059548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6314440" cy="533400"/>
                <wp:effectExtent l="0" t="0" r="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14440" cy="533400"/>
                          <a:chOff x="12" y="53"/>
                          <a:chExt cx="98" cy="4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2" y="53"/>
                            <a:ext cx="98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EA3264" w:rsidRDefault="00EA326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EA3264" w:rsidRDefault="00EA3264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6" y="53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EA3264" w:rsidRDefault="00EA326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EA3264" w:rsidRPr="00043716" w:rsidRDefault="0004371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43716">
                                <w:rPr>
                                  <w:sz w:val="28"/>
                                  <w:szCs w:val="28"/>
                                </w:rPr>
                                <w:t>20.01.2025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84" y="53"/>
                            <a:ext cx="23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A3264" w:rsidRDefault="00EA326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EA3264" w:rsidRPr="00043716" w:rsidRDefault="0004371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43716">
                                <w:rPr>
                                  <w:sz w:val="28"/>
                                  <w:szCs w:val="28"/>
                                </w:rPr>
                                <w:t>059-11-01-05-2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.35pt;margin-top:14.55pt;width:497.2pt;height:42pt;z-index:251658752;mso-width-relative:margin;mso-height-relative:margin" coordorigin="12,53" coordsize="98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">
                <v:shape id="Надпись 4" o:spid="_x0000_s1028" type="#_x0000_t202" style="position:absolute;left:12;top:53;width:98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stroke joinstyle="round"/>
                  <v:textbox inset="0,0,0,0">
                    <w:txbxContent>
                      <w:p w:rsidR="00EA3264" w:rsidRDefault="00EA326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EA3264" w:rsidRDefault="00EA3264"/>
                    </w:txbxContent>
                  </v:textbox>
                </v:shape>
                <v:shape id="Надпись 5" o:spid="_x0000_s1029" type="#_x0000_t202" style="position:absolute;left:16;top:53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EA3264" w:rsidRDefault="00EA326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A3264" w:rsidRPr="00043716" w:rsidRDefault="00043716">
                        <w:pPr>
                          <w:rPr>
                            <w:sz w:val="28"/>
                            <w:szCs w:val="28"/>
                          </w:rPr>
                        </w:pPr>
                        <w:r w:rsidRPr="00043716">
                          <w:rPr>
                            <w:sz w:val="28"/>
                            <w:szCs w:val="28"/>
                          </w:rPr>
                          <w:t>20.01.2025</w:t>
                        </w:r>
                      </w:p>
                    </w:txbxContent>
                  </v:textbox>
                </v:shape>
                <v:shape id="Надпись 6" o:spid="_x0000_s1030" type="#_x0000_t202" style="position:absolute;left:84;top:53;width:23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EA3264" w:rsidRDefault="00EA326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A3264" w:rsidRPr="00043716" w:rsidRDefault="00043716">
                        <w:pPr>
                          <w:rPr>
                            <w:sz w:val="28"/>
                            <w:szCs w:val="28"/>
                          </w:rPr>
                        </w:pPr>
                        <w:r w:rsidRPr="00043716">
                          <w:rPr>
                            <w:sz w:val="28"/>
                            <w:szCs w:val="28"/>
                          </w:rPr>
                          <w:t>059-11-01-05-2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3264" w:rsidRDefault="00EA3264">
      <w:pPr>
        <w:jc w:val="both"/>
        <w:rPr>
          <w:sz w:val="28"/>
          <w:szCs w:val="28"/>
        </w:rPr>
      </w:pPr>
    </w:p>
    <w:p w:rsidR="00EA3264" w:rsidRDefault="00EA3264">
      <w:pPr>
        <w:jc w:val="both"/>
        <w:rPr>
          <w:sz w:val="28"/>
          <w:szCs w:val="28"/>
        </w:rPr>
      </w:pPr>
    </w:p>
    <w:p w:rsidR="00EA3264" w:rsidRDefault="00EA3264">
      <w:pPr>
        <w:jc w:val="both"/>
        <w:rPr>
          <w:sz w:val="28"/>
          <w:szCs w:val="28"/>
        </w:rPr>
      </w:pPr>
    </w:p>
    <w:p w:rsidR="00EA3264" w:rsidRDefault="00186DA0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</w:t>
      </w:r>
      <w:r w:rsidR="00595483">
        <w:rPr>
          <w:b/>
          <w:sz w:val="28"/>
          <w:szCs w:val="28"/>
        </w:rPr>
        <w:t>Об утверждении карты рисков</w:t>
      </w:r>
    </w:p>
    <w:p w:rsidR="00EA3264" w:rsidRDefault="0059548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нарушения антимонопольного </w:t>
      </w:r>
    </w:p>
    <w:p w:rsidR="00EA3264" w:rsidRDefault="0059548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законодательства, плана мероприятий </w:t>
      </w:r>
    </w:p>
    <w:p w:rsidR="00EA3264" w:rsidRPr="00186DA0" w:rsidRDefault="00595483">
      <w:pPr>
        <w:spacing w:line="24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по снижению рисков нарушения </w:t>
      </w:r>
    </w:p>
    <w:p w:rsidR="00EA3264" w:rsidRDefault="0059548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антимонопольного законодательства </w:t>
      </w:r>
    </w:p>
    <w:p w:rsidR="00EA3264" w:rsidRDefault="0059548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ключевых показателей эффективности </w:t>
      </w:r>
    </w:p>
    <w:p w:rsidR="00EA3264" w:rsidRDefault="0059548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функционирования антимонопольного </w:t>
      </w:r>
    </w:p>
    <w:p w:rsidR="00EA3264" w:rsidRDefault="00595483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комплаенса</w:t>
      </w:r>
      <w:proofErr w:type="spellEnd"/>
      <w:r>
        <w:rPr>
          <w:b/>
          <w:sz w:val="28"/>
          <w:szCs w:val="28"/>
        </w:rPr>
        <w:t xml:space="preserve"> в управлении жилищных</w:t>
      </w:r>
    </w:p>
    <w:p w:rsidR="00EA3264" w:rsidRDefault="00595483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отношений администрации города Перми</w:t>
      </w:r>
    </w:p>
    <w:p w:rsidR="00EA3264" w:rsidRDefault="00595483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2025 год</w:t>
      </w:r>
      <w:r w:rsidR="00186DA0">
        <w:rPr>
          <w:b/>
          <w:sz w:val="28"/>
          <w:szCs w:val="28"/>
        </w:rPr>
        <w:t>»</w:t>
      </w:r>
    </w:p>
    <w:bookmarkEnd w:id="0"/>
    <w:p w:rsidR="00EA3264" w:rsidRDefault="00EA3264">
      <w:pPr>
        <w:jc w:val="both"/>
        <w:rPr>
          <w:sz w:val="28"/>
          <w:szCs w:val="28"/>
        </w:rPr>
      </w:pPr>
    </w:p>
    <w:p w:rsidR="00EA3264" w:rsidRDefault="00EA3264">
      <w:pPr>
        <w:jc w:val="both"/>
        <w:rPr>
          <w:sz w:val="28"/>
          <w:szCs w:val="28"/>
        </w:rPr>
      </w:pPr>
    </w:p>
    <w:p w:rsidR="00EA3264" w:rsidRDefault="005954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статьей 9.1 Федерального закона от 26 июля 2006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135-ФЗ «О защите конкуренции», Указом Президента Российской Федерации от 21 декабря 2017 г. № 618 «Об основных направлениях государственной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политики по развитию конкуренции», распоряж</w:t>
      </w:r>
      <w:r>
        <w:rPr>
          <w:sz w:val="28"/>
          <w:szCs w:val="28"/>
        </w:rPr>
        <w:t xml:space="preserve">ением Правительства Российской Федерации от 18 октября 2018 г. № 2258-р «Об утверждении методических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рекомендаций по созданию и организации федеральными органами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исполнительной власти системы внутреннего обеспечения соответствия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требованиям антимонополь</w:t>
      </w:r>
      <w:r>
        <w:rPr>
          <w:sz w:val="28"/>
          <w:szCs w:val="28"/>
        </w:rPr>
        <w:t xml:space="preserve">ного законодательства», распоряжением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Правительства Пермского края от 28 февраля 2019 г. № 42-рп «О мерах,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направленных на создание и организацию системы внутреннего обеспечения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соответствия требованиям антимонопольного законодательства деятельности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полнительных органов государственной власти Пермского края», приказом начальника управления жилищных отношений администрации города Перми </w:t>
      </w:r>
      <w:r>
        <w:rPr>
          <w:sz w:val="28"/>
          <w:szCs w:val="28"/>
        </w:rPr>
        <w:br/>
        <w:t xml:space="preserve">от 15 января 2025 г. № 059-11-01-05-1 «Об утверждении Положения </w:t>
      </w:r>
      <w:r>
        <w:rPr>
          <w:sz w:val="28"/>
          <w:szCs w:val="28"/>
        </w:rPr>
        <w:br/>
        <w:t>об организации в управлении жилищных отношений админ</w:t>
      </w:r>
      <w:r>
        <w:rPr>
          <w:sz w:val="28"/>
          <w:szCs w:val="28"/>
        </w:rPr>
        <w:t xml:space="preserve">истрации города Перми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)»</w:t>
      </w:r>
    </w:p>
    <w:p w:rsidR="00EA3264" w:rsidRDefault="0059548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A3264" w:rsidRDefault="00595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EA3264" w:rsidRDefault="00595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Карту рисков нарушения антимонопольного законодательства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управ</w:t>
      </w:r>
      <w:r>
        <w:rPr>
          <w:sz w:val="28"/>
          <w:szCs w:val="28"/>
        </w:rPr>
        <w:t>лении жилищных отношений администрации города Перми на 2025 год.</w:t>
      </w:r>
    </w:p>
    <w:p w:rsidR="00EA3264" w:rsidRDefault="00595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План мероприятий по снижению рисков нарушения антимонопольного законодательства в управлении жилищных отношений администрации города Перми на 2025 год.</w:t>
      </w:r>
    </w:p>
    <w:p w:rsidR="00EA3264" w:rsidRDefault="00595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Ключевые показатели эффективн</w:t>
      </w:r>
      <w:r>
        <w:rPr>
          <w:sz w:val="28"/>
          <w:szCs w:val="28"/>
        </w:rPr>
        <w:t xml:space="preserve">ости функционирования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управлении жилищных отношений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администрации города Перми на 2025 год.</w:t>
      </w:r>
    </w:p>
    <w:p w:rsidR="00EA3264" w:rsidRDefault="00595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Общему отделу управления жилищных отношений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города Перми обеспечить:</w:t>
      </w:r>
    </w:p>
    <w:p w:rsidR="00EA3264" w:rsidRDefault="00595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размещение настоящего приказа на официал</w:t>
      </w:r>
      <w:r>
        <w:rPr>
          <w:sz w:val="28"/>
          <w:szCs w:val="28"/>
        </w:rPr>
        <w:t>ьном сайте муниципального образования город Пермь в информационно-телекоммуникационной сети «Интернет»;</w:t>
      </w:r>
    </w:p>
    <w:p w:rsidR="00EA3264" w:rsidRDefault="00595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ознакомление с настоящим приказом муниципальных служащих, замещающих должности муниципальной службы в управлении жилищных отношений администрации г</w:t>
      </w:r>
      <w:r>
        <w:rPr>
          <w:sz w:val="28"/>
          <w:szCs w:val="28"/>
        </w:rPr>
        <w:t>орода Перми.</w:t>
      </w:r>
    </w:p>
    <w:p w:rsidR="00EA3264" w:rsidRDefault="00595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со дня подписания.</w:t>
      </w:r>
    </w:p>
    <w:p w:rsidR="00EA3264" w:rsidRDefault="00595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приказа возложить на заместителя начальника управления жилищных отношений администрации города Перми </w:t>
      </w:r>
      <w:proofErr w:type="spellStart"/>
      <w:r>
        <w:rPr>
          <w:sz w:val="28"/>
          <w:szCs w:val="28"/>
        </w:rPr>
        <w:t>Дуданову</w:t>
      </w:r>
      <w:proofErr w:type="spellEnd"/>
      <w:r>
        <w:rPr>
          <w:sz w:val="28"/>
          <w:szCs w:val="28"/>
        </w:rPr>
        <w:t xml:space="preserve"> О.В.</w:t>
      </w:r>
    </w:p>
    <w:p w:rsidR="00EA3264" w:rsidRDefault="00EA3264">
      <w:pPr>
        <w:jc w:val="both"/>
        <w:rPr>
          <w:sz w:val="28"/>
          <w:szCs w:val="28"/>
        </w:rPr>
      </w:pPr>
    </w:p>
    <w:p w:rsidR="00EA3264" w:rsidRDefault="00EA3264">
      <w:pPr>
        <w:jc w:val="both"/>
        <w:rPr>
          <w:sz w:val="28"/>
          <w:szCs w:val="28"/>
        </w:rPr>
      </w:pPr>
    </w:p>
    <w:p w:rsidR="00EA3264" w:rsidRDefault="00595483">
      <w:pPr>
        <w:tabs>
          <w:tab w:val="left" w:pos="30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                      Н.Н. Афанасьева</w:t>
      </w: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  <w:sectPr w:rsidR="00EA3264">
          <w:headerReference w:type="even" r:id="rId7"/>
          <w:headerReference w:type="default" r:id="rId8"/>
          <w:pgSz w:w="11900" w:h="16820"/>
          <w:pgMar w:top="567" w:right="567" w:bottom="1134" w:left="1418" w:header="720" w:footer="720" w:gutter="0"/>
          <w:cols w:space="60"/>
          <w:titlePg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  <w:gridCol w:w="4595"/>
      </w:tblGrid>
      <w:tr w:rsidR="00EA3264">
        <w:tc>
          <w:tcPr>
            <w:tcW w:w="9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A3264" w:rsidRDefault="00EA3264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A3264" w:rsidRDefault="00595483">
            <w:pPr>
              <w:tabs>
                <w:tab w:val="left" w:pos="301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EA3264" w:rsidRDefault="00595483">
            <w:pPr>
              <w:tabs>
                <w:tab w:val="left" w:pos="301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начальника</w:t>
            </w:r>
          </w:p>
          <w:p w:rsidR="00EA3264" w:rsidRDefault="00595483">
            <w:pPr>
              <w:tabs>
                <w:tab w:val="left" w:pos="301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жилищных отношений</w:t>
            </w:r>
          </w:p>
          <w:p w:rsidR="00EA3264" w:rsidRDefault="00595483">
            <w:pPr>
              <w:tabs>
                <w:tab w:val="left" w:pos="301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Перми</w:t>
            </w:r>
          </w:p>
          <w:p w:rsidR="00EA3264" w:rsidRDefault="00EA3264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A3264" w:rsidRDefault="00EA3264">
      <w:pPr>
        <w:tabs>
          <w:tab w:val="left" w:pos="3010"/>
        </w:tabs>
        <w:ind w:left="10632" w:hanging="10632"/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center"/>
        <w:rPr>
          <w:sz w:val="28"/>
          <w:szCs w:val="28"/>
        </w:rPr>
      </w:pPr>
    </w:p>
    <w:p w:rsidR="00EA3264" w:rsidRDefault="00595483">
      <w:pPr>
        <w:tabs>
          <w:tab w:val="left" w:pos="301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РИСКОВ</w:t>
      </w:r>
    </w:p>
    <w:p w:rsidR="00EA3264" w:rsidRDefault="00595483">
      <w:pPr>
        <w:tabs>
          <w:tab w:val="left" w:pos="301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нарушения антимонопольного законодательства в управлении жилищных отношений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администрации города Перми на 2025 год</w:t>
      </w:r>
    </w:p>
    <w:p w:rsidR="00EA3264" w:rsidRDefault="00EA3264">
      <w:pPr>
        <w:tabs>
          <w:tab w:val="left" w:pos="3010"/>
        </w:tabs>
        <w:jc w:val="center"/>
        <w:rPr>
          <w:b/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b/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961"/>
        <w:gridCol w:w="4820"/>
        <w:gridCol w:w="1417"/>
      </w:tblGrid>
      <w:tr w:rsidR="00EA3264">
        <w:tc>
          <w:tcPr>
            <w:tcW w:w="709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noWrap/>
          </w:tcPr>
          <w:p w:rsidR="00EA3264" w:rsidRDefault="00595483">
            <w:pPr>
              <w:tabs>
                <w:tab w:val="left" w:pos="3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полномочия,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при реализации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которых возможен риск</w:t>
            </w:r>
          </w:p>
        </w:tc>
        <w:tc>
          <w:tcPr>
            <w:tcW w:w="4961" w:type="dxa"/>
            <w:noWrap/>
          </w:tcPr>
          <w:p w:rsidR="00EA3264" w:rsidRDefault="00595483">
            <w:pPr>
              <w:tabs>
                <w:tab w:val="left" w:pos="3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 (описание)</w:t>
            </w:r>
          </w:p>
        </w:tc>
        <w:tc>
          <w:tcPr>
            <w:tcW w:w="4820" w:type="dxa"/>
            <w:noWrap/>
          </w:tcPr>
          <w:p w:rsidR="00EA3264" w:rsidRDefault="00595483">
            <w:pPr>
              <w:tabs>
                <w:tab w:val="left" w:pos="3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и условия возникновения рисков</w:t>
            </w:r>
          </w:p>
        </w:tc>
        <w:tc>
          <w:tcPr>
            <w:tcW w:w="1417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риска</w:t>
            </w:r>
          </w:p>
        </w:tc>
      </w:tr>
      <w:tr w:rsidR="00EA3264">
        <w:tc>
          <w:tcPr>
            <w:tcW w:w="709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закупок товаров,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работ, услуг для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обеспечения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муниципальных нужд</w:t>
            </w:r>
          </w:p>
        </w:tc>
        <w:tc>
          <w:tcPr>
            <w:tcW w:w="4961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антимонопольного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законодательства при осуществлении закупок товаров, работ, услуг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для обеспечения муницип</w:t>
            </w:r>
            <w:r>
              <w:rPr>
                <w:sz w:val="28"/>
                <w:szCs w:val="28"/>
              </w:rPr>
              <w:t xml:space="preserve">альных нужд в соответствии с Федеральным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законом от 05.04.2013 № 44-ФЗ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«О контрактной системе в сфере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закупок товаров, работ, услуг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для обеспечения государственных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муниципальных нужд»</w:t>
            </w:r>
          </w:p>
        </w:tc>
        <w:tc>
          <w:tcPr>
            <w:tcW w:w="4820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Осуществление закупок товаров, работ, услуг для обеспечения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муниципальных нужд с нарушением требований антимонопольного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законодательства.</w:t>
            </w:r>
          </w:p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Отсутствие текущего мониторинга и анализа в части изменений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законодательства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правоприменительной практики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сфере закупок.</w:t>
            </w:r>
          </w:p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Личная заинтересованность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сотрудника (конф</w:t>
            </w:r>
            <w:r>
              <w:rPr>
                <w:sz w:val="28"/>
                <w:szCs w:val="28"/>
              </w:rPr>
              <w:t>ликт интересов).</w:t>
            </w:r>
          </w:p>
        </w:tc>
        <w:tc>
          <w:tcPr>
            <w:tcW w:w="1417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EA3264">
        <w:tc>
          <w:tcPr>
            <w:tcW w:w="709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lastRenderedPageBreak/>
              <w:t xml:space="preserve">соглашений,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договоров, контрактов</w:t>
            </w:r>
          </w:p>
        </w:tc>
        <w:tc>
          <w:tcPr>
            <w:tcW w:w="4961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Заключение соглашений, договоров, </w:t>
            </w:r>
            <w:r>
              <w:rPr>
                <w:sz w:val="28"/>
                <w:szCs w:val="28"/>
              </w:rPr>
              <w:lastRenderedPageBreak/>
              <w:t xml:space="preserve">контрактов, ограничивающих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конкуренцию </w:t>
            </w:r>
          </w:p>
        </w:tc>
        <w:tc>
          <w:tcPr>
            <w:tcW w:w="4820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Нарушение порядка подготовки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lastRenderedPageBreak/>
              <w:t xml:space="preserve">и подписания соглашений, договоров, контрактов. </w:t>
            </w:r>
          </w:p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Отсутствие достаточной квалификации сотрудников. 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Несвоевременный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(некачественный) мониторинг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изменений действующего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законодательства. 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Ненадлежащий уровень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юридической экспертизы на предмет соответствия нормам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антимонопольного законодательст</w:t>
            </w:r>
            <w:r>
              <w:rPr>
                <w:sz w:val="28"/>
                <w:szCs w:val="28"/>
              </w:rPr>
              <w:t>ва.</w:t>
            </w:r>
          </w:p>
        </w:tc>
        <w:tc>
          <w:tcPr>
            <w:tcW w:w="1417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Низкий</w:t>
            </w:r>
          </w:p>
        </w:tc>
      </w:tr>
      <w:tr w:rsidR="00EA3264">
        <w:tc>
          <w:tcPr>
            <w:tcW w:w="709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принятие нормативных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правовых актов (далее – НПА)</w:t>
            </w:r>
          </w:p>
        </w:tc>
        <w:tc>
          <w:tcPr>
            <w:tcW w:w="4961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НПА, содержащих нормы, противоречащие требованиям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4820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Недостаточная квалификация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сотрудников.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Ненадлежащий уровень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юридической экспертизы и анализа проектов НПА на предмет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соответствия нормам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антимонопольного законодательства.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Несвоевременный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(некачественный) мониторинг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изменений законодательства. </w:t>
            </w:r>
          </w:p>
        </w:tc>
        <w:tc>
          <w:tcPr>
            <w:tcW w:w="1417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EA3264">
        <w:tc>
          <w:tcPr>
            <w:tcW w:w="709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noWrap/>
          </w:tcPr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ответов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 обращения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физических и юридиче</w:t>
            </w:r>
            <w:r>
              <w:rPr>
                <w:sz w:val="28"/>
                <w:szCs w:val="28"/>
              </w:rPr>
              <w:t>ских лиц</w:t>
            </w:r>
          </w:p>
        </w:tc>
        <w:tc>
          <w:tcPr>
            <w:tcW w:w="4961" w:type="dxa"/>
            <w:noWrap/>
          </w:tcPr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антимонопольного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законодательства при подготовке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ответов на обращения физических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юридических лиц </w:t>
            </w:r>
          </w:p>
        </w:tc>
        <w:tc>
          <w:tcPr>
            <w:tcW w:w="4820" w:type="dxa"/>
            <w:noWrap/>
          </w:tcPr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Нарушение сроков рассмотрения обращений физических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юридических лиц.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Недостаточный уровень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внутреннего контроля.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Личная за</w:t>
            </w:r>
            <w:r>
              <w:rPr>
                <w:sz w:val="28"/>
                <w:szCs w:val="28"/>
              </w:rPr>
              <w:t xml:space="preserve">интересованность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сотрудника (конфликт интересов).</w:t>
            </w:r>
          </w:p>
        </w:tc>
        <w:tc>
          <w:tcPr>
            <w:tcW w:w="1417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EA3264">
        <w:tc>
          <w:tcPr>
            <w:tcW w:w="709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noWrap/>
          </w:tcPr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lastRenderedPageBreak/>
              <w:t>муниципальных услуг</w:t>
            </w:r>
          </w:p>
        </w:tc>
        <w:tc>
          <w:tcPr>
            <w:tcW w:w="4961" w:type="dxa"/>
            <w:noWrap/>
          </w:tcPr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Отказ в предоставлении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lastRenderedPageBreak/>
              <w:t xml:space="preserve">муниципальной услуги по основаниям, не предусмотренным действующим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законодательством;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взимание платы за предоставление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муниципальной услуги, если такая плата не предусмотрена действующим законодательством; 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сроков предоставления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муниципальной услуги;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предъявление требований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 предоставлении документов,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информации или осуществлении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действий, предоставление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</w:t>
            </w:r>
            <w:r>
              <w:rPr>
                <w:sz w:val="28"/>
                <w:szCs w:val="28"/>
              </w:rPr>
              <w:t xml:space="preserve">и осуществление которых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не предусмотрено действующим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4820" w:type="dxa"/>
            <w:noWrap/>
          </w:tcPr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Отсутствие достаточной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lastRenderedPageBreak/>
              <w:t>квалификации сотрудников.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Недостаточный контроль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за сроками оказания муниципальных услуг.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Отсутствие мониторинга и анализа проектов НПА, НПА в сфере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оказания муниципальных услуг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 предмет соответствия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их антимонопольному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законодательству.</w:t>
            </w:r>
          </w:p>
        </w:tc>
        <w:tc>
          <w:tcPr>
            <w:tcW w:w="1417" w:type="dxa"/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Незначит</w:t>
            </w:r>
            <w:r>
              <w:rPr>
                <w:sz w:val="28"/>
                <w:szCs w:val="28"/>
              </w:rPr>
              <w:lastRenderedPageBreak/>
              <w:t>ельный</w:t>
            </w:r>
          </w:p>
        </w:tc>
      </w:tr>
    </w:tbl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4879"/>
      </w:tblGrid>
      <w:tr w:rsidR="00EA326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A3264" w:rsidRDefault="00EA3264">
            <w:pPr>
              <w:rPr>
                <w:sz w:val="28"/>
                <w:szCs w:val="28"/>
              </w:rPr>
            </w:pPr>
          </w:p>
        </w:tc>
        <w:tc>
          <w:tcPr>
            <w:tcW w:w="4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A3264" w:rsidRDefault="005954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A3264" w:rsidRDefault="00595483">
            <w:pPr>
              <w:spacing w:line="240" w:lineRule="exact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начальника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управления жилищных отношений</w:t>
            </w:r>
          </w:p>
          <w:p w:rsidR="00EA3264" w:rsidRDefault="005954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Перми</w:t>
            </w:r>
          </w:p>
        </w:tc>
      </w:tr>
    </w:tbl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59548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EA3264" w:rsidRDefault="0059548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снижению рисков нарушения антимонопольного законодательства в управлении жилищных отношений администрации города Перми на 2025 год</w:t>
      </w:r>
    </w:p>
    <w:p w:rsidR="00EA3264" w:rsidRDefault="00EA3264">
      <w:pPr>
        <w:spacing w:line="240" w:lineRule="exact"/>
        <w:jc w:val="center"/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402"/>
        <w:gridCol w:w="2552"/>
        <w:gridCol w:w="1842"/>
        <w:gridCol w:w="2694"/>
      </w:tblGrid>
      <w:tr w:rsidR="00EA32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Риск нарушения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антимонопольного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законодательства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минимизации </w:t>
            </w:r>
            <w:r>
              <w:rPr>
                <w:sz w:val="28"/>
                <w:szCs w:val="28"/>
              </w:rPr>
              <w:br w:type="textWrapping" w:clear="all"/>
            </w:r>
            <w:proofErr w:type="spellStart"/>
            <w:r>
              <w:rPr>
                <w:sz w:val="28"/>
                <w:szCs w:val="28"/>
              </w:rPr>
              <w:t>иустранению</w:t>
            </w:r>
            <w:proofErr w:type="spellEnd"/>
            <w:r>
              <w:rPr>
                <w:sz w:val="28"/>
                <w:szCs w:val="28"/>
              </w:rPr>
              <w:t xml:space="preserve"> рисков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(пл</w:t>
            </w:r>
            <w:r>
              <w:rPr>
                <w:sz w:val="28"/>
                <w:szCs w:val="28"/>
              </w:rPr>
              <w:t xml:space="preserve">анируемый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результат)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</w:t>
            </w:r>
          </w:p>
        </w:tc>
      </w:tr>
      <w:tr w:rsidR="00EA32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антимонопольного </w:t>
            </w:r>
            <w:r>
              <w:rPr>
                <w:sz w:val="28"/>
                <w:szCs w:val="28"/>
              </w:rPr>
              <w:br/>
              <w:t xml:space="preserve">законодательства при осуществлении закупок товаров, работ, услуг </w:t>
            </w:r>
            <w:r>
              <w:rPr>
                <w:sz w:val="28"/>
                <w:szCs w:val="28"/>
              </w:rPr>
              <w:br/>
              <w:t xml:space="preserve">для обеспечения муниципальных нужд в соответствии с Федеральным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законом от 05.04.2013 № 44-ФЗ </w:t>
            </w:r>
            <w:r>
              <w:rPr>
                <w:sz w:val="28"/>
                <w:szCs w:val="28"/>
              </w:rPr>
              <w:br/>
              <w:t xml:space="preserve">«О контрактной системе в сфере </w:t>
            </w:r>
            <w:r>
              <w:rPr>
                <w:sz w:val="28"/>
                <w:szCs w:val="28"/>
              </w:rPr>
              <w:br/>
              <w:t xml:space="preserve">закупок товаров, работ, услуг </w:t>
            </w:r>
            <w:r>
              <w:rPr>
                <w:sz w:val="28"/>
                <w:szCs w:val="28"/>
              </w:rPr>
              <w:br/>
              <w:t xml:space="preserve">для обеспечения государственных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и муниципальных нужд»</w:t>
            </w:r>
          </w:p>
          <w:p w:rsidR="00EA3264" w:rsidRDefault="00EA326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Контроль за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соблюдением требований законодательства в сфере закупок.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Повышение качества планировани</w:t>
            </w:r>
            <w:r>
              <w:rPr>
                <w:sz w:val="28"/>
                <w:szCs w:val="28"/>
              </w:rPr>
              <w:t xml:space="preserve">я закупок. 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Повышение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квалификации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сотрудников.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Текущий мониторинг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анализ изменений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законодательства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правоприменительной практики в сфере закупок.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Принятие мер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 по предотвращению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урегулированию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lastRenderedPageBreak/>
              <w:t>конфликта интересов.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Сокращение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вероятн</w:t>
            </w:r>
            <w:r>
              <w:rPr>
                <w:sz w:val="28"/>
                <w:szCs w:val="28"/>
              </w:rPr>
              <w:t xml:space="preserve">ости наступления </w:t>
            </w:r>
            <w:r>
              <w:rPr>
                <w:sz w:val="28"/>
                <w:szCs w:val="28"/>
              </w:rPr>
              <w:br w:type="textWrapping" w:clear="all"/>
            </w:r>
            <w:proofErr w:type="spellStart"/>
            <w:r>
              <w:rPr>
                <w:sz w:val="28"/>
                <w:szCs w:val="28"/>
              </w:rPr>
              <w:t>комплаенс</w:t>
            </w:r>
            <w:proofErr w:type="spellEnd"/>
            <w:r>
              <w:rPr>
                <w:sz w:val="28"/>
                <w:szCs w:val="28"/>
              </w:rPr>
              <w:t xml:space="preserve">-риска, недопущение нарушений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закупок управления жилищных отношений администрации города Перми (далее – управление) </w:t>
            </w:r>
            <w:proofErr w:type="spellStart"/>
            <w:r>
              <w:rPr>
                <w:sz w:val="28"/>
                <w:szCs w:val="28"/>
              </w:rPr>
              <w:t>Лужецкая</w:t>
            </w:r>
            <w:proofErr w:type="spellEnd"/>
            <w:r>
              <w:rPr>
                <w:sz w:val="28"/>
                <w:szCs w:val="28"/>
              </w:rPr>
              <w:t xml:space="preserve"> И.А. </w:t>
            </w:r>
          </w:p>
        </w:tc>
      </w:tr>
      <w:tr w:rsidR="00EA32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соглашений, договоров,</w:t>
            </w:r>
            <w:r>
              <w:rPr>
                <w:sz w:val="28"/>
                <w:szCs w:val="28"/>
              </w:rPr>
              <w:t xml:space="preserve"> контрактов, ограничивающих </w:t>
            </w:r>
            <w:r>
              <w:rPr>
                <w:sz w:val="28"/>
                <w:szCs w:val="28"/>
              </w:rPr>
              <w:br/>
              <w:t xml:space="preserve">конкуренцию </w:t>
            </w:r>
          </w:p>
          <w:p w:rsidR="00EA3264" w:rsidRDefault="00EA326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Контроль за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соблюдением требований антимонопольного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законодательства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при заключении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соглашений, договоров, контрактов.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Повышение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квалификации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сотрудников. 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Текущий мониторинг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 и анализ изменений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конодательства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правоприменительной практики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антимонопольного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законодательства.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Повышение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эффективности процесса управления со стороны руководителя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соответствующего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подразделения.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вероятности наступления </w:t>
            </w:r>
            <w:r>
              <w:rPr>
                <w:sz w:val="28"/>
                <w:szCs w:val="28"/>
              </w:rPr>
              <w:br w:type="textWrapping" w:clear="all"/>
            </w:r>
            <w:proofErr w:type="spellStart"/>
            <w:r>
              <w:rPr>
                <w:sz w:val="28"/>
                <w:szCs w:val="28"/>
              </w:rPr>
              <w:t>комплаенс</w:t>
            </w:r>
            <w:proofErr w:type="spellEnd"/>
            <w:r>
              <w:rPr>
                <w:sz w:val="28"/>
                <w:szCs w:val="28"/>
              </w:rPr>
              <w:t xml:space="preserve">-риска, недопущение нарушений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начальника управления Екимова А.О., заместитель начальника управления Ахматова А.А.</w:t>
            </w:r>
            <w:proofErr w:type="gramStart"/>
            <w:r>
              <w:rPr>
                <w:sz w:val="28"/>
                <w:szCs w:val="28"/>
              </w:rPr>
              <w:t>,  заместитель</w:t>
            </w:r>
            <w:proofErr w:type="gramEnd"/>
            <w:r>
              <w:rPr>
                <w:sz w:val="28"/>
                <w:szCs w:val="28"/>
              </w:rPr>
              <w:t xml:space="preserve"> начальника управления </w:t>
            </w:r>
            <w:proofErr w:type="spellStart"/>
            <w:r>
              <w:rPr>
                <w:sz w:val="28"/>
                <w:szCs w:val="28"/>
              </w:rPr>
              <w:t>Дуданова</w:t>
            </w:r>
            <w:proofErr w:type="spellEnd"/>
            <w:r>
              <w:rPr>
                <w:sz w:val="28"/>
                <w:szCs w:val="28"/>
              </w:rPr>
              <w:t xml:space="preserve"> О.В.,  заместитель начал</w:t>
            </w:r>
            <w:r>
              <w:rPr>
                <w:sz w:val="28"/>
                <w:szCs w:val="28"/>
              </w:rPr>
              <w:t xml:space="preserve">ьника управления Санникова Т.В.   </w:t>
            </w:r>
          </w:p>
        </w:tc>
      </w:tr>
      <w:tr w:rsidR="00EA32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tabs>
                <w:tab w:val="left" w:pos="30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НПА, содержащих нормы, противоречащие требованиям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антимонопольного законодательства</w:t>
            </w:r>
          </w:p>
          <w:p w:rsidR="00EA3264" w:rsidRDefault="00EA326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Повышение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квалификации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сотрудников.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Анализ проектов НПА </w:t>
            </w:r>
            <w:r>
              <w:rPr>
                <w:sz w:val="28"/>
                <w:szCs w:val="28"/>
              </w:rPr>
              <w:lastRenderedPageBreak/>
              <w:t xml:space="preserve">на предмет соответствия нормам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антимонопольного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законод</w:t>
            </w:r>
            <w:r>
              <w:rPr>
                <w:sz w:val="28"/>
                <w:szCs w:val="28"/>
              </w:rPr>
              <w:t>ательства.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Текущий мониторинг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анализ изменений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законодательства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правоприменительной практики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антимонопольного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законодательства.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Анализ ранее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 выявленных нарушений.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Сокращение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вероятности наступления </w:t>
            </w:r>
            <w:r>
              <w:rPr>
                <w:sz w:val="28"/>
                <w:szCs w:val="28"/>
              </w:rPr>
              <w:br w:type="textWrapping" w:clear="all"/>
            </w:r>
            <w:proofErr w:type="spellStart"/>
            <w:r>
              <w:rPr>
                <w:sz w:val="28"/>
                <w:szCs w:val="28"/>
              </w:rPr>
              <w:t>комплаенс</w:t>
            </w:r>
            <w:proofErr w:type="spellEnd"/>
            <w:r>
              <w:rPr>
                <w:sz w:val="28"/>
                <w:szCs w:val="28"/>
              </w:rPr>
              <w:t xml:space="preserve">-риска, </w:t>
            </w:r>
            <w:r>
              <w:rPr>
                <w:sz w:val="28"/>
                <w:szCs w:val="28"/>
              </w:rPr>
              <w:lastRenderedPageBreak/>
              <w:t xml:space="preserve">недопущение нарушений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начальника управления Екимова А.О., </w:t>
            </w:r>
            <w:r>
              <w:rPr>
                <w:sz w:val="28"/>
                <w:szCs w:val="28"/>
              </w:rPr>
              <w:lastRenderedPageBreak/>
              <w:t>заместитель начальника управления Ахматова А.А.</w:t>
            </w:r>
            <w:proofErr w:type="gramStart"/>
            <w:r>
              <w:rPr>
                <w:sz w:val="28"/>
                <w:szCs w:val="28"/>
              </w:rPr>
              <w:t>,  заместитель</w:t>
            </w:r>
            <w:proofErr w:type="gramEnd"/>
            <w:r>
              <w:rPr>
                <w:sz w:val="28"/>
                <w:szCs w:val="28"/>
              </w:rPr>
              <w:t xml:space="preserve"> начальника управления </w:t>
            </w:r>
            <w:proofErr w:type="spellStart"/>
            <w:r>
              <w:rPr>
                <w:sz w:val="28"/>
                <w:szCs w:val="28"/>
              </w:rPr>
              <w:t>Дуданова</w:t>
            </w:r>
            <w:proofErr w:type="spellEnd"/>
            <w:r>
              <w:rPr>
                <w:sz w:val="28"/>
                <w:szCs w:val="28"/>
              </w:rPr>
              <w:t xml:space="preserve"> О.В.,  заместитель начальника управления Санникова Т.В.       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EA32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антимонопольного </w:t>
            </w:r>
            <w:r>
              <w:rPr>
                <w:sz w:val="28"/>
                <w:szCs w:val="28"/>
              </w:rPr>
              <w:br/>
              <w:t xml:space="preserve">законодательства при подготовке </w:t>
            </w:r>
            <w:r>
              <w:rPr>
                <w:sz w:val="28"/>
                <w:szCs w:val="28"/>
              </w:rPr>
              <w:br/>
              <w:t xml:space="preserve">ответов на обращения физических </w:t>
            </w:r>
            <w:r>
              <w:rPr>
                <w:sz w:val="28"/>
                <w:szCs w:val="28"/>
              </w:rPr>
              <w:br/>
              <w:t xml:space="preserve">и юридических лиц </w:t>
            </w:r>
          </w:p>
          <w:p w:rsidR="00EA3264" w:rsidRDefault="00EA326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Контроль за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соблюдением сроков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ответов на обращения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физических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юридических лиц.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Оперативное доведение поступивших обращений до исполнителей.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Усиление внутреннего контроля за подготовкой ответов на обращения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физических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юридических лиц.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Повышение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квалификации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сотрудников. 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Анализ ранее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lastRenderedPageBreak/>
              <w:t>выявленных нарушений.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Принятие мер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 предотвращению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урегулированию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конфликта интересов.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Сокращение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вероятности наступления </w:t>
            </w:r>
            <w:r>
              <w:rPr>
                <w:sz w:val="28"/>
                <w:szCs w:val="28"/>
              </w:rPr>
              <w:br w:type="textWrapping" w:clear="all"/>
            </w:r>
            <w:proofErr w:type="spellStart"/>
            <w:r>
              <w:rPr>
                <w:sz w:val="28"/>
                <w:szCs w:val="28"/>
              </w:rPr>
              <w:t>комплаенс</w:t>
            </w:r>
            <w:proofErr w:type="spellEnd"/>
            <w:r>
              <w:rPr>
                <w:sz w:val="28"/>
                <w:szCs w:val="28"/>
              </w:rPr>
              <w:t>-риска, недопущение нарушений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начальника управления Екимова А.О., замест</w:t>
            </w:r>
            <w:r>
              <w:rPr>
                <w:sz w:val="28"/>
                <w:szCs w:val="28"/>
              </w:rPr>
              <w:t>итель начальника управления Ахматова А.А.</w:t>
            </w:r>
            <w:proofErr w:type="gramStart"/>
            <w:r>
              <w:rPr>
                <w:sz w:val="28"/>
                <w:szCs w:val="28"/>
              </w:rPr>
              <w:t>,  заместитель</w:t>
            </w:r>
            <w:proofErr w:type="gramEnd"/>
            <w:r>
              <w:rPr>
                <w:sz w:val="28"/>
                <w:szCs w:val="28"/>
              </w:rPr>
              <w:t xml:space="preserve"> начальника управления </w:t>
            </w:r>
            <w:proofErr w:type="spellStart"/>
            <w:r>
              <w:rPr>
                <w:sz w:val="28"/>
                <w:szCs w:val="28"/>
              </w:rPr>
              <w:t>Дуданова</w:t>
            </w:r>
            <w:proofErr w:type="spellEnd"/>
            <w:r>
              <w:rPr>
                <w:sz w:val="28"/>
                <w:szCs w:val="28"/>
              </w:rPr>
              <w:t xml:space="preserve"> О.В.,  заместитель начальника управления Санникова Т.В.  </w:t>
            </w:r>
          </w:p>
        </w:tc>
      </w:tr>
      <w:tr w:rsidR="00EA32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Отказ в предоставлении </w:t>
            </w:r>
            <w:r>
              <w:rPr>
                <w:sz w:val="28"/>
                <w:szCs w:val="28"/>
              </w:rPr>
              <w:br/>
              <w:t xml:space="preserve">муниципальной услуги по основаниям, не предусмотренным действующим </w:t>
            </w:r>
            <w:r>
              <w:rPr>
                <w:sz w:val="28"/>
                <w:szCs w:val="28"/>
              </w:rPr>
              <w:br/>
              <w:t>законодательств</w:t>
            </w:r>
            <w:r>
              <w:rPr>
                <w:sz w:val="28"/>
                <w:szCs w:val="28"/>
              </w:rPr>
              <w:t>ом;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взимание платы за предоставление </w:t>
            </w:r>
            <w:r>
              <w:rPr>
                <w:sz w:val="28"/>
                <w:szCs w:val="28"/>
              </w:rPr>
              <w:br/>
              <w:t xml:space="preserve">муниципальной услуги, если такая плата не предусмотрена действующим законодательством; 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сроков предоставления </w:t>
            </w:r>
            <w:r>
              <w:rPr>
                <w:sz w:val="28"/>
                <w:szCs w:val="28"/>
              </w:rPr>
              <w:br/>
              <w:t>муниципальной услуги;</w:t>
            </w:r>
          </w:p>
          <w:p w:rsidR="00EA3264" w:rsidRDefault="00595483">
            <w:pPr>
              <w:tabs>
                <w:tab w:val="left" w:pos="3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предъявление требований </w:t>
            </w:r>
            <w:r>
              <w:rPr>
                <w:sz w:val="28"/>
                <w:szCs w:val="28"/>
              </w:rPr>
              <w:br/>
              <w:t xml:space="preserve">о предоставлении документов, </w:t>
            </w:r>
            <w:r>
              <w:rPr>
                <w:sz w:val="28"/>
                <w:szCs w:val="28"/>
              </w:rPr>
              <w:br/>
              <w:t>информации или осуще</w:t>
            </w:r>
            <w:r>
              <w:rPr>
                <w:sz w:val="28"/>
                <w:szCs w:val="28"/>
              </w:rPr>
              <w:t xml:space="preserve">ствлении </w:t>
            </w:r>
            <w:r>
              <w:rPr>
                <w:sz w:val="28"/>
                <w:szCs w:val="28"/>
              </w:rPr>
              <w:br/>
              <w:t xml:space="preserve">действий, предоставление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или осуществление которых </w:t>
            </w:r>
            <w:r>
              <w:rPr>
                <w:sz w:val="28"/>
                <w:szCs w:val="28"/>
              </w:rPr>
              <w:br/>
              <w:t xml:space="preserve">не предусмотрено действующим </w:t>
            </w:r>
            <w:r>
              <w:rPr>
                <w:sz w:val="28"/>
                <w:szCs w:val="28"/>
              </w:rPr>
              <w:br/>
              <w:t>законодательством</w:t>
            </w:r>
          </w:p>
          <w:p w:rsidR="00EA3264" w:rsidRDefault="00EA326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Повышение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квалификации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сотрудников.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Контроль за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соблюдением сроков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оказания муниципальных услуг и исполнения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административных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регламентов,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регулирующих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муниципальных услуг.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Мониторинг и анализ проектов НПА и НПА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сфере оказания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муниципальных услуг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 предмет соответствия их антимонопольному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законодательству.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Текущий мониторинг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анализ изменений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зак</w:t>
            </w:r>
            <w:r>
              <w:rPr>
                <w:sz w:val="28"/>
                <w:szCs w:val="28"/>
              </w:rPr>
              <w:t xml:space="preserve">онодательства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правоприменительной практики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антимонопольного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lastRenderedPageBreak/>
              <w:t>законодательства.</w:t>
            </w:r>
          </w:p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Повышение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эффективности процесса управления со стороны руководителя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соответствующего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подразделения.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Сокращение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вероятности наступления </w:t>
            </w:r>
            <w:r>
              <w:rPr>
                <w:sz w:val="28"/>
                <w:szCs w:val="28"/>
              </w:rPr>
              <w:br w:type="textWrapping" w:clear="all"/>
            </w:r>
            <w:proofErr w:type="spellStart"/>
            <w:r>
              <w:rPr>
                <w:sz w:val="28"/>
                <w:szCs w:val="28"/>
              </w:rPr>
              <w:t>комплаенс</w:t>
            </w:r>
            <w:proofErr w:type="spellEnd"/>
            <w:r>
              <w:rPr>
                <w:sz w:val="28"/>
                <w:szCs w:val="28"/>
              </w:rPr>
              <w:t>-риска, недопущение нарушений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264" w:rsidRDefault="00595483">
            <w:r>
              <w:rPr>
                <w:sz w:val="28"/>
                <w:szCs w:val="28"/>
              </w:rPr>
              <w:t>Первый заместитель начальника управления Екимова А.О., заместитель начальника управления Ахматова А.А.</w:t>
            </w:r>
            <w:proofErr w:type="gramStart"/>
            <w:r>
              <w:rPr>
                <w:sz w:val="28"/>
                <w:szCs w:val="28"/>
              </w:rPr>
              <w:t>,  заместитель</w:t>
            </w:r>
            <w:proofErr w:type="gramEnd"/>
            <w:r>
              <w:rPr>
                <w:sz w:val="28"/>
                <w:szCs w:val="28"/>
              </w:rPr>
              <w:t xml:space="preserve"> начальника управления Санникова Т.В.  </w:t>
            </w:r>
          </w:p>
        </w:tc>
      </w:tr>
    </w:tbl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EA3264">
      <w:pPr>
        <w:rPr>
          <w:sz w:val="28"/>
          <w:szCs w:val="28"/>
        </w:rPr>
      </w:pPr>
    </w:p>
    <w:p w:rsidR="00EA3264" w:rsidRDefault="00595483">
      <w:pPr>
        <w:tabs>
          <w:tab w:val="left" w:pos="2685"/>
        </w:tabs>
        <w:rPr>
          <w:sz w:val="28"/>
          <w:szCs w:val="28"/>
        </w:rPr>
        <w:sectPr w:rsidR="00EA3264">
          <w:pgSz w:w="16820" w:h="11900" w:orient="landscape"/>
          <w:pgMar w:top="1418" w:right="567" w:bottom="567" w:left="1134" w:header="720" w:footer="720" w:gutter="0"/>
          <w:cols w:space="60"/>
          <w:titlePg/>
          <w:docGrid w:linePitch="360"/>
        </w:sectPr>
      </w:pPr>
      <w:r>
        <w:rPr>
          <w:sz w:val="28"/>
          <w:szCs w:val="28"/>
        </w:rPr>
        <w:tab/>
      </w: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p w:rsidR="00EA3264" w:rsidRDefault="00EA3264">
      <w:pPr>
        <w:tabs>
          <w:tab w:val="left" w:pos="301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636"/>
      </w:tblGrid>
      <w:tr w:rsidR="00EA3264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A3264" w:rsidRDefault="00EA32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A3264" w:rsidRDefault="0059548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EA3264" w:rsidRDefault="0059548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начальника </w:t>
            </w:r>
          </w:p>
          <w:p w:rsidR="00EA3264" w:rsidRDefault="0059548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жилищных отношений</w:t>
            </w:r>
          </w:p>
          <w:p w:rsidR="00EA3264" w:rsidRDefault="0059548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Перми</w:t>
            </w:r>
          </w:p>
        </w:tc>
      </w:tr>
    </w:tbl>
    <w:p w:rsidR="00EA3264" w:rsidRDefault="00EA3264">
      <w:pPr>
        <w:jc w:val="both"/>
        <w:rPr>
          <w:sz w:val="28"/>
          <w:szCs w:val="28"/>
        </w:rPr>
      </w:pPr>
    </w:p>
    <w:p w:rsidR="00EA3264" w:rsidRDefault="00EA3264">
      <w:pPr>
        <w:jc w:val="both"/>
        <w:rPr>
          <w:sz w:val="28"/>
          <w:szCs w:val="28"/>
        </w:rPr>
      </w:pPr>
    </w:p>
    <w:p w:rsidR="00EA3264" w:rsidRDefault="00595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ПОКАЗАТЕЛИ</w:t>
      </w:r>
    </w:p>
    <w:p w:rsidR="00EA3264" w:rsidRDefault="0059548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функционирования антимонопольного </w:t>
      </w:r>
      <w:proofErr w:type="spellStart"/>
      <w:r>
        <w:rPr>
          <w:b/>
          <w:sz w:val="28"/>
          <w:szCs w:val="28"/>
        </w:rPr>
        <w:t>комплаенса</w:t>
      </w:r>
      <w:proofErr w:type="spellEnd"/>
    </w:p>
    <w:p w:rsidR="00EA3264" w:rsidRDefault="0059548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управлении жилищных отношений администрации города Перми </w:t>
      </w:r>
      <w:r>
        <w:rPr>
          <w:b/>
          <w:sz w:val="28"/>
          <w:szCs w:val="28"/>
        </w:rPr>
        <w:br/>
        <w:t>на 2025 год</w:t>
      </w:r>
    </w:p>
    <w:p w:rsidR="00EA3264" w:rsidRDefault="00EA3264">
      <w:pPr>
        <w:spacing w:line="240" w:lineRule="exact"/>
        <w:jc w:val="both"/>
        <w:rPr>
          <w:b/>
          <w:sz w:val="28"/>
          <w:szCs w:val="28"/>
        </w:rPr>
      </w:pPr>
    </w:p>
    <w:p w:rsidR="00EA3264" w:rsidRDefault="00EA3264">
      <w:pPr>
        <w:jc w:val="both"/>
        <w:rPr>
          <w:sz w:val="28"/>
          <w:szCs w:val="28"/>
        </w:rPr>
      </w:pPr>
    </w:p>
    <w:p w:rsidR="00EA3264" w:rsidRDefault="005954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Коэффициент снижения количества нарушений антимонопольного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законодательства в управлении жилищных отношений администрации города Перми (далее – управление) за последние три года.</w:t>
      </w:r>
    </w:p>
    <w:p w:rsidR="00EA3264" w:rsidRDefault="005954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Коэффициент эффективности выявления рисков нарушения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антимонопольного законодательства в проектах нормативных правовых актов управления.</w:t>
      </w:r>
    </w:p>
    <w:p w:rsidR="00EA3264" w:rsidRDefault="005954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Коэффициент эффективности выявления нарушений антимонопольного законодательства в нормативных правовых актах управления.</w:t>
      </w:r>
    </w:p>
    <w:p w:rsidR="00EA3264" w:rsidRDefault="005954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Доля сотрудников управления, с которыми бы</w:t>
      </w:r>
      <w:r>
        <w:rPr>
          <w:sz w:val="28"/>
          <w:szCs w:val="28"/>
        </w:rPr>
        <w:t xml:space="preserve">ли проведены обучающие мероприятия по антимонопольному законодательству и антимонопольному </w:t>
      </w:r>
      <w:r>
        <w:rPr>
          <w:sz w:val="28"/>
          <w:szCs w:val="28"/>
        </w:rPr>
        <w:br w:type="textWrapping" w:clear="all"/>
      </w:r>
      <w:proofErr w:type="spellStart"/>
      <w:r>
        <w:rPr>
          <w:sz w:val="28"/>
          <w:szCs w:val="28"/>
        </w:rPr>
        <w:t>комплаенсу</w:t>
      </w:r>
      <w:proofErr w:type="spellEnd"/>
      <w:r>
        <w:rPr>
          <w:sz w:val="28"/>
          <w:szCs w:val="28"/>
        </w:rPr>
        <w:t>.</w:t>
      </w:r>
    </w:p>
    <w:p w:rsidR="00EA3264" w:rsidRDefault="00EA3264">
      <w:pPr>
        <w:jc w:val="both"/>
        <w:rPr>
          <w:b/>
          <w:bCs/>
          <w:sz w:val="28"/>
          <w:szCs w:val="28"/>
        </w:rPr>
      </w:pPr>
    </w:p>
    <w:p w:rsidR="00EA3264" w:rsidRDefault="00EA3264">
      <w:pPr>
        <w:jc w:val="both"/>
        <w:rPr>
          <w:sz w:val="28"/>
          <w:szCs w:val="28"/>
        </w:rPr>
      </w:pPr>
    </w:p>
    <w:p w:rsidR="00EA3264" w:rsidRDefault="00EA3264">
      <w:pPr>
        <w:jc w:val="both"/>
        <w:rPr>
          <w:sz w:val="28"/>
          <w:szCs w:val="28"/>
        </w:rPr>
      </w:pPr>
    </w:p>
    <w:p w:rsidR="00EA3264" w:rsidRDefault="00EA3264">
      <w:pPr>
        <w:jc w:val="both"/>
        <w:rPr>
          <w:sz w:val="28"/>
          <w:szCs w:val="28"/>
        </w:rPr>
      </w:pPr>
    </w:p>
    <w:p w:rsidR="00EA3264" w:rsidRDefault="00EA3264">
      <w:pPr>
        <w:jc w:val="both"/>
        <w:rPr>
          <w:sz w:val="28"/>
          <w:szCs w:val="28"/>
        </w:rPr>
      </w:pPr>
    </w:p>
    <w:p w:rsidR="00EA3264" w:rsidRDefault="00EA3264">
      <w:pPr>
        <w:jc w:val="both"/>
        <w:rPr>
          <w:sz w:val="28"/>
          <w:szCs w:val="28"/>
        </w:rPr>
      </w:pPr>
    </w:p>
    <w:p w:rsidR="00EA3264" w:rsidRDefault="00EA3264">
      <w:pPr>
        <w:jc w:val="both"/>
        <w:rPr>
          <w:sz w:val="28"/>
          <w:szCs w:val="28"/>
        </w:rPr>
      </w:pPr>
    </w:p>
    <w:p w:rsidR="00EA3264" w:rsidRDefault="0059548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EA3264" w:rsidRDefault="00EA3264">
      <w:pPr>
        <w:pStyle w:val="af6"/>
        <w:ind w:right="0"/>
        <w:jc w:val="both"/>
        <w:rPr>
          <w:rFonts w:ascii="Times New Roman" w:hAnsi="Times New Roman"/>
          <w:sz w:val="24"/>
        </w:rPr>
      </w:pPr>
    </w:p>
    <w:sectPr w:rsidR="00EA3264"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83" w:rsidRDefault="00595483">
      <w:r>
        <w:separator/>
      </w:r>
    </w:p>
  </w:endnote>
  <w:endnote w:type="continuationSeparator" w:id="0">
    <w:p w:rsidR="00595483" w:rsidRDefault="0059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83" w:rsidRDefault="00595483">
      <w:r>
        <w:separator/>
      </w:r>
    </w:p>
  </w:footnote>
  <w:footnote w:type="continuationSeparator" w:id="0">
    <w:p w:rsidR="00595483" w:rsidRDefault="0059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264" w:rsidRDefault="00595483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A3264" w:rsidRDefault="00EA3264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264" w:rsidRDefault="00EA3264">
    <w:pPr>
      <w:pStyle w:val="afb"/>
      <w:framePr w:wrap="around" w:vAnchor="text" w:hAnchor="margin" w:xAlign="center" w:y="1"/>
      <w:rPr>
        <w:rStyle w:val="afa"/>
      </w:rPr>
    </w:pPr>
  </w:p>
  <w:p w:rsidR="00EA3264" w:rsidRDefault="00EA3264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64"/>
    <w:rsid w:val="00043716"/>
    <w:rsid w:val="00186DA0"/>
    <w:rsid w:val="00595483"/>
    <w:rsid w:val="00A91091"/>
    <w:rsid w:val="00EA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DB62A-6B2B-484E-B6E0-4EF28769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pPr>
      <w:tabs>
        <w:tab w:val="center" w:pos="4153"/>
        <w:tab w:val="right" w:pos="8306"/>
      </w:tabs>
    </w:p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Крылова Дарья Сергеевна</cp:lastModifiedBy>
  <cp:revision>7</cp:revision>
  <dcterms:created xsi:type="dcterms:W3CDTF">2025-01-15T11:45:00Z</dcterms:created>
  <dcterms:modified xsi:type="dcterms:W3CDTF">2025-01-29T08:54:00Z</dcterms:modified>
  <cp:version>917504</cp:version>
</cp:coreProperties>
</file>