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E6" w:rsidRDefault="00F050E6" w:rsidP="00F05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50E6" w:rsidRDefault="00F050E6" w:rsidP="00F050E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изменениях в законодательстве </w:t>
      </w:r>
    </w:p>
    <w:p w:rsidR="00F050E6" w:rsidRDefault="00F050E6" w:rsidP="00F050E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противодействии коррупции</w:t>
      </w:r>
    </w:p>
    <w:p w:rsidR="00F050E6" w:rsidRDefault="00F050E6" w:rsidP="00F050E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050E6" w:rsidRDefault="00F050E6" w:rsidP="00F05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Федеральный закон от 25.12.2008 № 273-ФЗ «О противодействии коррупции» с 01 января 2021 года внесены изменения, согласно которым для целей настоящего закона цифровая валюта признается имуществом.</w:t>
      </w:r>
    </w:p>
    <w:p w:rsidR="00F050E6" w:rsidRDefault="00F050E6" w:rsidP="00F05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свою очередь, под цифровой валютой понимается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</w:t>
      </w:r>
      <w:proofErr w:type="gramEnd"/>
      <w:r>
        <w:rPr>
          <w:rFonts w:ascii="Times New Roman" w:hAnsi="Times New Roman"/>
          <w:sz w:val="28"/>
          <w:szCs w:val="28"/>
        </w:rPr>
        <w:t xml:space="preserve"> обладателем таких электронных данных,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F050E6" w:rsidRDefault="00F050E6" w:rsidP="00F05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 учетом изложенных требований законодательства, с 2021 года лица, которые представляют сведения о доходах, об имуществе и обязательствах имущественного характера, должны будут также представлять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</w:p>
    <w:p w:rsidR="00F050E6" w:rsidRDefault="00F050E6" w:rsidP="00F05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0E6" w:rsidRDefault="00F050E6" w:rsidP="00F05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города Перми</w:t>
      </w:r>
    </w:p>
    <w:p w:rsidR="000451AB" w:rsidRDefault="000451AB">
      <w:bookmarkStart w:id="0" w:name="_GoBack"/>
      <w:bookmarkEnd w:id="0"/>
    </w:p>
    <w:sectPr w:rsidR="0004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DA"/>
    <w:rsid w:val="000451AB"/>
    <w:rsid w:val="00515EDA"/>
    <w:rsid w:val="00F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2021-06-17T09:41:00Z</dcterms:created>
  <dcterms:modified xsi:type="dcterms:W3CDTF">2021-06-17T09:41:00Z</dcterms:modified>
</cp:coreProperties>
</file>