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31E1" w:rsidRDefault="00F32E4E" w:rsidP="001218D5">
      <w:pPr>
        <w:pStyle w:val="3"/>
        <w:spacing w:before="0"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«Расширен перечень граждан, имеющих право на поступление на военную службу по контракту в периоды мобилизации, военного положения и </w:t>
      </w:r>
      <w:r>
        <w:rPr>
          <w:rFonts w:ascii="Times New Roman" w:hAnsi="Times New Roman" w:cs="Times New Roman"/>
        </w:rPr>
        <w:t>в военное время»</w:t>
      </w:r>
    </w:p>
    <w:p w:rsidR="000231E1" w:rsidRDefault="000231E1">
      <w:pPr>
        <w:pStyle w:val="Textbody"/>
      </w:pPr>
    </w:p>
    <w:p w:rsidR="000231E1" w:rsidRDefault="00F32E4E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марте 2024 г. в Федеральный закон от 28 марта 1998 г. № 53-ФЗ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"О воинской обязанности и военной службе" (далее - Закон) внесены изменения, расширяющие перечень граждан, обладающих правом на заключение контракта о прохождении военной сл</w:t>
      </w:r>
      <w:r>
        <w:rPr>
          <w:rFonts w:ascii="Times New Roman" w:hAnsi="Times New Roman" w:cs="Times New Roman"/>
          <w:sz w:val="28"/>
          <w:szCs w:val="28"/>
        </w:rPr>
        <w:t xml:space="preserve">ужбы в периоды мобилизации, военного положения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в военное время.</w:t>
      </w:r>
    </w:p>
    <w:p w:rsidR="000231E1" w:rsidRDefault="00F32E4E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Определено, что в эти периоды контракт может быть заключен с не только лицами, имеющими судимость, но и с отбывающими уголовное наказание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исправительных учреждениях. Исключение составляю</w:t>
      </w:r>
      <w:r>
        <w:rPr>
          <w:rFonts w:ascii="Times New Roman" w:hAnsi="Times New Roman" w:cs="Times New Roman"/>
          <w:sz w:val="28"/>
          <w:szCs w:val="28"/>
        </w:rPr>
        <w:t xml:space="preserve">т случаи осуждения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по отдельным составам преступлений, перечисленным в пункте 5.1 статьи 34 Закона.</w:t>
      </w:r>
    </w:p>
    <w:p w:rsidR="000231E1" w:rsidRDefault="00F32E4E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Контракт о прохождении военной службы может быть заключен также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с совершившими преступления гражданами, в отношении которых ведется предварительное рассле</w:t>
      </w:r>
      <w:r>
        <w:rPr>
          <w:rFonts w:ascii="Times New Roman" w:hAnsi="Times New Roman" w:cs="Times New Roman"/>
          <w:sz w:val="28"/>
          <w:szCs w:val="28"/>
        </w:rPr>
        <w:t>дование. При этом, в отличие от ранее действовавшей нормы Закона, категория тяжести деяния не имеет значения. В таких случаях по ходатайству командования воинской части, военного комиссара либо начальника пункта отбора производство по уголовному делу может</w:t>
      </w:r>
      <w:r>
        <w:rPr>
          <w:rFonts w:ascii="Times New Roman" w:hAnsi="Times New Roman" w:cs="Times New Roman"/>
          <w:sz w:val="28"/>
          <w:szCs w:val="28"/>
        </w:rPr>
        <w:t xml:space="preserve"> быть приостановлено.</w:t>
      </w:r>
    </w:p>
    <w:p w:rsidR="000231E1" w:rsidRDefault="00F32E4E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такими гражданами не старше 65 лет, изъявившими желание заключить контракт с Министерством обороны Российской Федерации, предварительно проводятся мероприятия по отбору, в том числе социально-психологическое изучение, а также медици</w:t>
      </w:r>
      <w:r>
        <w:rPr>
          <w:rFonts w:ascii="Times New Roman" w:hAnsi="Times New Roman" w:cs="Times New Roman"/>
          <w:sz w:val="28"/>
          <w:szCs w:val="28"/>
        </w:rPr>
        <w:t xml:space="preserve">нское освидетельствование и обязательные диагностические исследования, предусмотренные Положением о военно-врачебной экспертизе, утвержденным Постановлением Правительства Российской Федерации от 4 июля 2013 г. № 565. Испытательный срок в случае заключения </w:t>
      </w:r>
      <w:r>
        <w:rPr>
          <w:rFonts w:ascii="Times New Roman" w:hAnsi="Times New Roman" w:cs="Times New Roman"/>
          <w:sz w:val="28"/>
          <w:szCs w:val="28"/>
        </w:rPr>
        <w:t>контракта не устанавливается.</w:t>
      </w:r>
    </w:p>
    <w:p w:rsidR="000231E1" w:rsidRDefault="00F32E4E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последующем эти лица могут быть освобождены от уголовной ответственности или от назначенного наказания в случае награждения в период прохождения военной службы государственной наградой либо при увольнении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с военной службы п</w:t>
      </w:r>
      <w:r>
        <w:rPr>
          <w:rFonts w:ascii="Times New Roman" w:hAnsi="Times New Roman" w:cs="Times New Roman"/>
          <w:sz w:val="28"/>
          <w:szCs w:val="28"/>
        </w:rPr>
        <w:t>о достижении предельного возраста, состоянию здоровья или в связи с окончанием периода мобилизации, отменой (прекращением действия) военного положения.</w:t>
      </w:r>
    </w:p>
    <w:p w:rsidR="001218D5" w:rsidRDefault="001218D5">
      <w:pPr>
        <w:pStyle w:val="Textbody"/>
        <w:spacing w:after="0" w:line="240" w:lineRule="auto"/>
        <w:ind w:firstLine="709"/>
        <w:jc w:val="both"/>
      </w:pPr>
    </w:p>
    <w:p w:rsidR="001218D5" w:rsidRDefault="001218D5" w:rsidP="001218D5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Военная прокуратура Пермского гарнизона</w:t>
      </w:r>
    </w:p>
    <w:p w:rsidR="001218D5" w:rsidRDefault="001218D5">
      <w:pPr>
        <w:pStyle w:val="Textbody"/>
        <w:spacing w:after="0" w:line="240" w:lineRule="auto"/>
        <w:ind w:firstLine="709"/>
        <w:jc w:val="both"/>
      </w:pPr>
      <w:bookmarkStart w:id="0" w:name="_GoBack"/>
      <w:bookmarkEnd w:id="0"/>
    </w:p>
    <w:sectPr w:rsidR="001218D5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2E4E" w:rsidRDefault="00F32E4E">
      <w:r>
        <w:separator/>
      </w:r>
    </w:p>
  </w:endnote>
  <w:endnote w:type="continuationSeparator" w:id="0">
    <w:p w:rsidR="00F32E4E" w:rsidRDefault="00F32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T Sans">
    <w:altName w:val="Arial"/>
    <w:charset w:val="00"/>
    <w:family w:val="swiss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Calibri"/>
    <w:charset w:val="00"/>
    <w:family w:val="auto"/>
    <w:pitch w:val="variable"/>
  </w:font>
  <w:font w:name="Liberation Serif">
    <w:altName w:val="Times New Roman"/>
    <w:charset w:val="00"/>
    <w:family w:val="roman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2E4E" w:rsidRDefault="00F32E4E">
      <w:r>
        <w:rPr>
          <w:color w:val="000000"/>
        </w:rPr>
        <w:separator/>
      </w:r>
    </w:p>
  </w:footnote>
  <w:footnote w:type="continuationSeparator" w:id="0">
    <w:p w:rsidR="00F32E4E" w:rsidRDefault="00F32E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0231E1"/>
    <w:rsid w:val="000231E1"/>
    <w:rsid w:val="001218D5"/>
    <w:rsid w:val="00F32E4E"/>
    <w:rsid w:val="00F42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6DB67"/>
  <w15:docId w15:val="{8CF37D4C-8C1C-414B-8D4E-1D65B22AB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PT Sans" w:eastAsia="Tahoma" w:hAnsi="PT Sans" w:cs="Noto Sans Devanagari"/>
        <w:kern w:val="3"/>
        <w:sz w:val="24"/>
        <w:szCs w:val="24"/>
        <w:lang w:val="ru-RU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</w:pPr>
  </w:style>
  <w:style w:type="paragraph" w:styleId="3">
    <w:name w:val="heading 3"/>
    <w:basedOn w:val="Heading"/>
    <w:next w:val="Textbody"/>
    <w:uiPriority w:val="9"/>
    <w:unhideWhenUsed/>
    <w:qFormat/>
    <w:pPr>
      <w:spacing w:before="140"/>
      <w:outlineLvl w:val="2"/>
    </w:pPr>
    <w:rPr>
      <w:rFonts w:ascii="Liberation Serif" w:hAnsi="Liberation Serif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eastAsia="PT Sans"/>
    </w:rPr>
  </w:style>
  <w:style w:type="paragraph" w:styleId="a4">
    <w:name w:val="caption"/>
    <w:basedOn w:val="Standard"/>
    <w:pPr>
      <w:suppressLineNumbers/>
      <w:spacing w:before="120" w:after="120"/>
    </w:pPr>
    <w:rPr>
      <w:rFonts w:eastAsia="PT Sans"/>
      <w:i/>
      <w:iCs/>
    </w:rPr>
  </w:style>
  <w:style w:type="paragraph" w:customStyle="1" w:styleId="Index">
    <w:name w:val="Index"/>
    <w:basedOn w:val="Standard"/>
    <w:pPr>
      <w:suppressLineNumbers/>
    </w:pPr>
    <w:rPr>
      <w:rFonts w:eastAsia="PT Sans"/>
    </w:rPr>
  </w:style>
  <w:style w:type="character" w:customStyle="1" w:styleId="StrongEmphasis">
    <w:name w:val="Strong Emphasis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82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Виноградова Екатерина Радиковна</dc:creator>
  <cp:lastModifiedBy>Виноградова Екатерина Радиковна</cp:lastModifiedBy>
  <cp:revision>2</cp:revision>
  <dcterms:created xsi:type="dcterms:W3CDTF">2024-08-19T11:20:00Z</dcterms:created>
  <dcterms:modified xsi:type="dcterms:W3CDTF">2024-08-19T11:20:00Z</dcterms:modified>
</cp:coreProperties>
</file>