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C0" w:rsidRDefault="00EA7AC0" w:rsidP="00EA7AC0">
      <w:pPr>
        <w:spacing w:line="283" w:lineRule="atLeast"/>
        <w:ind w:firstLine="720"/>
        <w:jc w:val="both"/>
        <w:rPr>
          <w:b/>
          <w:bCs/>
        </w:rPr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Транснефть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Прикамье</w:t>
      </w:r>
      <w:proofErr w:type="spellEnd"/>
      <w:r>
        <w:rPr>
          <w:b/>
          <w:bCs/>
          <w:color w:val="000000"/>
        </w:rPr>
        <w:t>» информирует о прохождении нефтепроводов, режимах охранной зоны и минимальных расстояний до магистральных нефтепроводов</w:t>
      </w:r>
    </w:p>
    <w:p w:rsidR="00EA7AC0" w:rsidRDefault="00EA7AC0" w:rsidP="00EA7AC0">
      <w:pPr>
        <w:spacing w:line="283" w:lineRule="atLeast"/>
        <w:ind w:firstLine="720"/>
        <w:jc w:val="both"/>
        <w:rPr>
          <w:b/>
          <w:bCs/>
        </w:rPr>
      </w:pPr>
    </w:p>
    <w:p w:rsidR="00EA7AC0" w:rsidRDefault="00EA7AC0" w:rsidP="00EA7AC0">
      <w:pPr>
        <w:spacing w:line="283" w:lineRule="atLeast"/>
        <w:ind w:firstLine="720"/>
        <w:jc w:val="both"/>
        <w:rPr>
          <w:b/>
          <w:bCs/>
        </w:rPr>
      </w:pPr>
      <w:r>
        <w:rPr>
          <w:b/>
          <w:bCs/>
          <w:color w:val="000000"/>
        </w:rPr>
        <w:t>В охранных зонах трубопроводов запрещено проводить работы, которые могут нарушить эксплуатацию трубопроводов либо привести к их повреждению.</w:t>
      </w:r>
    </w:p>
    <w:p w:rsidR="00EA7AC0" w:rsidRDefault="00EA7AC0" w:rsidP="00EA7AC0">
      <w:pPr>
        <w:spacing w:line="283" w:lineRule="atLeast"/>
        <w:ind w:firstLine="720"/>
        <w:jc w:val="both"/>
      </w:pP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>Трасса нефтепровода обозначается специальными опознавательными знаками. Повреждение нефтепроводов может нанести крупный ущерб государству, экологический ущерб и представляет большую пожарную опасность. Согласно земельному кодексу РФ в связи с размещением магистральных нефтепроводов устанавливаются зоны с особыми условиями использования территории: охранная зона, зона минимальных расстояний до магистральных трубопроводов. Охранная зона составляет 25 метров в каждую сторону от оси крайнего нефтепровода, 100 метров от перекачивающих станций, подводных переходов.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>В охранных зонах трубопроводов запрещается производить действия, которые могут нарушить эксплуатацию трубопроводов либо привести к их повреждению, в частности: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>– возводить любые постройки и сооружения, производить открытые и подземные, горные, строительные, монтажные и взрывные работы, планировку грунта;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>– высаживать деревья и кустарники, складировать корма, удобрения, материалы, сено и солому, располагать коновязи, содержать скот, выделять рыбопромысловые участки, ловить рыбу, устраивать водопои, производить колку и заготовку льда;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>– перемещать, засыпать и ломать опознавательные и сигнальные знаки, контрольно-измерительные пункты;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открывать люки, калитки и двери необслуживаемых усилительных пунктов кабельной связи, ограждений узлов линейной арматуры, станций катодной и дренажной защиты, линейных и смотровых колодцев и других линейных устройств, открывать и закрывать краны и задвижки, отключать или включать средства связи, энергоснабжения и телемеханики трубопроводов;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устраивать всякого рода свалки, выливать растворы кислот, солей и щелочей;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разрушать берегоукрепительные сооружения, водопропускные устройства, земляные и иные сооружения, предохраняющие трубопроводы от разрушения, а прилегающую территорию и окружающую местность - от аварийного разлива транспортируемой продукции;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бросать якоря, проходить с отданными якорями, цепями, лотами, волокушами и тралами, производить дноуглубительные и землечерпальные работы;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разводить огонь и размещать какие-либо открытые или закрытые источники огня;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сооружать проезды и переезды через трассы трубопроводов, устраивать стоянки автомобильного транспорта, тракторов и механизмов, размещать сады и огороды;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– производить </w:t>
      </w:r>
      <w:proofErr w:type="spellStart"/>
      <w:r>
        <w:rPr>
          <w:color w:val="000000"/>
        </w:rPr>
        <w:t>геологосъемочные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геолого-разведочные</w:t>
      </w:r>
      <w:proofErr w:type="gramEnd"/>
      <w:r>
        <w:rPr>
          <w:color w:val="000000"/>
        </w:rPr>
        <w:t>, поисковые, геодезические и другие изыскательские работы, связанные с устройством скважин, шурфов и взятием проб грунта производить мелиоративные земляные работы, сооружать оросительные и осушительные системы.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>Минимальное расстояние от оси магистрального нефтепровода до городов, населенных пунктов, зданий, сооружений, коллективных садов, дачных поселков составляет: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номинальным диаметром 300 мм и менее – расстояние 75 метров;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номинальным диаметром свыше 300 мм до 500 мм – расстояние 100 метров;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номинальным диаметром свыше 500 мм до 1000 мм – расстояние 150 метров;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– номинальным диаметром свыше 1000 мм до 1200 мм – расстояние 200 метров.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 xml:space="preserve">Переезд автотранспортной и специальной техники через нефтепровод допускается </w:t>
      </w:r>
      <w:r>
        <w:rPr>
          <w:color w:val="000000"/>
        </w:rPr>
        <w:lastRenderedPageBreak/>
        <w:t>только по специально оборудованным переездам и дорогам общего пользования с твердым покрытием. Перечисленные ограничения действуют независимо от вида разрешенного использования земельных участков и категории земель.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>Нарушение режима охранной зоны и минимальных расстояний до магистральных нефтепроводов, в том числе возведение в их границах зданий и сооружений, влечет риски для жизни и здоровья людей, их имущества. Сведения о границах охранной зоны и минимальных расстояний магистральных нефтепроводов внесены в Единый государственный реестр недвижимости.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Нарушение запретов либо несоблюдение порядка выполнения работ в охранных зонах магистральных нефтепроводов, если эти действия по своему характеру не влекут уголовной ответственности, влечет за собой административную ответственность в виде наложения штрафа в следующих размерах: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– на граждан в размере от 50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рублей до 100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рублей;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 xml:space="preserve">– на должностных лиц – от 500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рублей  до</w:t>
      </w:r>
      <w:proofErr w:type="gramEnd"/>
      <w:r>
        <w:rPr>
          <w:color w:val="000000"/>
        </w:rPr>
        <w:t xml:space="preserve"> 800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рублей;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 xml:space="preserve">– на лиц, осуществляющих предпринимательскую деятельность без образования юридического лица, – от 500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рублей до 800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рублей или административное приостановление деятельности на срок до 90 суток;</w:t>
      </w:r>
    </w:p>
    <w:p w:rsidR="00EA7AC0" w:rsidRDefault="00EA7AC0" w:rsidP="00EA7AC0">
      <w:pPr>
        <w:spacing w:line="283" w:lineRule="atLeast"/>
        <w:ind w:firstLine="720"/>
        <w:jc w:val="both"/>
      </w:pPr>
      <w:r>
        <w:rPr>
          <w:color w:val="000000"/>
        </w:rPr>
        <w:t xml:space="preserve">– на юридических лиц – от 500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</w:rPr>
        <w:t xml:space="preserve"> рублей до 2,5 млн рублей или административное приостановление деятельности на срок до 90 суток.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>Перед выполнением работ в охранной зоне и зоне минимальных расстояний магистральных нефтепроводов необходимо получить технические условия в АО «</w:t>
      </w:r>
      <w:proofErr w:type="spellStart"/>
      <w:r>
        <w:rPr>
          <w:color w:val="000000"/>
        </w:rPr>
        <w:t>Транснефть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Прикамье</w:t>
      </w:r>
      <w:proofErr w:type="spellEnd"/>
      <w:r>
        <w:rPr>
          <w:color w:val="000000"/>
        </w:rPr>
        <w:t xml:space="preserve">» по адресу: Республика Татарстан, </w:t>
      </w:r>
      <w:proofErr w:type="spellStart"/>
      <w:r>
        <w:rPr>
          <w:color w:val="000000"/>
        </w:rPr>
        <w:t>г.Казань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ул.П.Лумумбы</w:t>
      </w:r>
      <w:proofErr w:type="spellEnd"/>
      <w:r>
        <w:rPr>
          <w:color w:val="000000"/>
        </w:rPr>
        <w:t>, д.20, корп.1. Контактный телефон: 8(843)279-04-20, 279-03-00,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 xml:space="preserve">: office@kaz.transneft.ru или </w:t>
      </w:r>
      <w:hyperlink r:id="rId4" w:tgtFrame="mailto:prnu@prm-kaz.kaz.transneft.ru.">
        <w:r>
          <w:rPr>
            <w:rStyle w:val="a3"/>
          </w:rPr>
          <w:t>prnu@prm-kaz.kaz.transneft.ru.</w:t>
        </w:r>
      </w:hyperlink>
      <w:r>
        <w:rPr>
          <w:color w:val="000000"/>
        </w:rPr>
        <w:t xml:space="preserve"> 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В случае обнаружения </w:t>
      </w:r>
      <w:proofErr w:type="gramStart"/>
      <w:r>
        <w:rPr>
          <w:color w:val="000000"/>
        </w:rPr>
        <w:t>утечек  нефти</w:t>
      </w:r>
      <w:proofErr w:type="gramEnd"/>
      <w:r>
        <w:rPr>
          <w:color w:val="000000"/>
        </w:rPr>
        <w:t xml:space="preserve"> необходимо немедленно сообщить по телефонам: 8(342)240-44-51, 8(342)240-49-30 (диспетчер ПРНУ АО «</w:t>
      </w:r>
      <w:proofErr w:type="spellStart"/>
      <w:r>
        <w:rPr>
          <w:color w:val="000000"/>
        </w:rPr>
        <w:t>Транснефть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Прикамье</w:t>
      </w:r>
      <w:proofErr w:type="spellEnd"/>
      <w:r>
        <w:rPr>
          <w:color w:val="000000"/>
        </w:rPr>
        <w:t>»), а также по телефона: 8(843)279-02-24, 8(843)223-02-60 (старший диспетчер ТДП «Казань» АО «</w:t>
      </w:r>
      <w:proofErr w:type="spellStart"/>
      <w:r>
        <w:rPr>
          <w:color w:val="000000"/>
        </w:rPr>
        <w:t>Транснефть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Прикамье</w:t>
      </w:r>
      <w:proofErr w:type="spellEnd"/>
      <w:r>
        <w:rPr>
          <w:color w:val="000000"/>
        </w:rPr>
        <w:t>»).</w:t>
      </w:r>
    </w:p>
    <w:p w:rsidR="00EA7AC0" w:rsidRDefault="00EA7AC0" w:rsidP="00EA7AC0">
      <w:pPr>
        <w:spacing w:line="283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Порядок выдачи технических условий размещен на официальном сайте </w:t>
      </w:r>
      <w:hyperlink r:id="rId5" w:tgtFrame="https://kama.transneft.ru/information/corp-info/procedure-for-technical-conditions/">
        <w:r>
          <w:rPr>
            <w:rStyle w:val="a3"/>
          </w:rPr>
          <w:t>АО «</w:t>
        </w:r>
        <w:proofErr w:type="spellStart"/>
        <w:r>
          <w:rPr>
            <w:rStyle w:val="a3"/>
          </w:rPr>
          <w:t>Транснефть</w:t>
        </w:r>
        <w:proofErr w:type="spellEnd"/>
        <w:r>
          <w:rPr>
            <w:rStyle w:val="a3"/>
          </w:rPr>
          <w:t xml:space="preserve"> – </w:t>
        </w:r>
        <w:proofErr w:type="spellStart"/>
        <w:r>
          <w:rPr>
            <w:rStyle w:val="a3"/>
          </w:rPr>
          <w:t>Прикамье</w:t>
        </w:r>
        <w:proofErr w:type="spellEnd"/>
        <w:r>
          <w:rPr>
            <w:rStyle w:val="a3"/>
          </w:rPr>
          <w:t>»</w:t>
        </w:r>
      </w:hyperlink>
      <w:r>
        <w:rPr>
          <w:color w:val="000000"/>
        </w:rPr>
        <w:t>.</w:t>
      </w:r>
    </w:p>
    <w:p w:rsidR="00F6496A" w:rsidRDefault="00F6496A">
      <w:bookmarkStart w:id="0" w:name="_GoBack"/>
      <w:bookmarkEnd w:id="0"/>
    </w:p>
    <w:sectPr w:rsidR="00F6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C0"/>
    <w:rsid w:val="00EA7AC0"/>
    <w:rsid w:val="00F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E6F2-6971-4EF7-985A-DA1EE70A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A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a.transneft.ru/information/corp-info/procedure-for-technical-conditions/" TargetMode="External"/><Relationship Id="rId4" Type="http://schemas.openxmlformats.org/officeDocument/2006/relationships/hyperlink" Target="mailto:prnu@prm-kaz.kaz.transneft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2025-04-08T10:45:00Z</dcterms:created>
  <dcterms:modified xsi:type="dcterms:W3CDTF">2025-04-08T10:45:00Z</dcterms:modified>
</cp:coreProperties>
</file>