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Предоставление сведений о доходах </w:t>
      </w:r>
      <w:r>
        <w:rPr>
          <w:rFonts w:ascii="Times New Roman" w:hAnsi="Times New Roman"/>
          <w:b w:val="1"/>
          <w:color w:val="000000"/>
          <w:sz w:val="28"/>
        </w:rPr>
        <w:t>государственными</w:t>
      </w:r>
      <w:r>
        <w:rPr>
          <w:rFonts w:ascii="Times New Roman" w:hAnsi="Times New Roman"/>
          <w:b w:val="1"/>
          <w:color w:val="000000"/>
          <w:sz w:val="28"/>
        </w:rPr>
        <w:t xml:space="preserve"> и муниципальными</w:t>
      </w:r>
    </w:p>
    <w:p w14:paraId="08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служащими в 2026 году</w:t>
      </w:r>
    </w:p>
    <w:p w14:paraId="09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FFFFFF"/>
          <w:sz w:val="28"/>
          <w:shd w:fill="1E3685" w:val="clear"/>
        </w:rPr>
      </w:pP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Федеральным законом от 28.12.2025 № 505-ФЗ внесены изменения в Федеральный закон от 27.07.2004 № 79-ФЗ «О государственной гражданской службе Российской Федерации», Федеральный закон от 25.12.2008 № 273-ФЗ «О противодействии коррупции», Федеральный закон от 03.12.2012 № 230-ФЗ «О контроле за соответствием расходов лиц, замещающих государственные должности, и иных лиц их доходам», которыми устанавливается новый порядок представления сведений о доходах, об имуществе и обязательствах имущественного характера.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Так, согласно внесенным изменениям сведения о доходах и имуществе за себя, супругов и несовершеннолетних детей должны представлять только те, кто претендует на должности государственной и муниципальной службы.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Уже находящиеся на службе обязаны предоставить их в случае перевода из другого госоргана или при несоответствии расходов доходам за три года.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перечень случаев необходимого представления сведений о доходах, об имуществе и обязательствах имущественного характера также включены: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перевод государственного служащего из одного государственного органа в другой;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назначение государственного (муниципального) служащего на должность государственной (муниципальной) службы, включенную в соответствующий перечень;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включение лица в федеральный кадровый резерв.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Установлен </w:t>
      </w:r>
      <w:r>
        <w:rPr>
          <w:rFonts w:ascii="Times New Roman" w:hAnsi="Times New Roman"/>
          <w:color w:val="000000"/>
          <w:sz w:val="28"/>
        </w:rPr>
        <w:t>контроль за</w:t>
      </w:r>
      <w:r>
        <w:rPr>
          <w:rFonts w:ascii="Times New Roman" w:hAnsi="Times New Roman"/>
          <w:color w:val="000000"/>
          <w:sz w:val="28"/>
        </w:rPr>
        <w:t xml:space="preserve"> соответствием расходов и доходов у лиц, замещающих </w:t>
      </w:r>
      <w:r>
        <w:rPr>
          <w:rFonts w:ascii="Times New Roman" w:hAnsi="Times New Roman"/>
          <w:color w:val="000000"/>
          <w:sz w:val="28"/>
        </w:rPr>
        <w:t>(занимающих) должности руководителей государственных и муниципальных учреждений.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Лица, замещающие государственные должности РФ, должности государственной и муниципальной службы и должности в отдельных организациях с государственным участием, обязаны представлять сведения о доходах, об имуществе и обязательствах имущественного характера в случае возникновения оснований для представления сведений о расходах в соответствии с Федеральным законом от 03.12.2012 № 230-Ф «О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/>
          <w:color w:val="000000"/>
          <w:sz w:val="28"/>
        </w:rPr>
        <w:t>» в срок не позднее 30 апреля года, следующего за годом, в котором возникли такие основания.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Государственный служащий не сможет находиться на службе, если подаст заведомо неполные сведения. В соответствии с ранее действующей редакцией такое правило применялось, когда сведения не представили или подали заведомо недостоверные.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Статьей 8.3 Федерального закона от 25.12.2008 № 273-ФЗ «О противодействии коррупции» установлено, что подразделения по профилактике коррупционных и иных правонарушений (должностные лица, ответственные за работу по профилактике коррупционных и иных правонарушений) органов публичной власти, Центрального банка Российской Федерации, государственных корпораций (компаний), публично-правовых компаний, государственных внебюджетных фондов Российской Федерации, иных организаций, созданных Российской Федерацией на основании федеральных законов, органы субъектов Российской Федерации</w:t>
      </w:r>
      <w:r>
        <w:rPr>
          <w:rFonts w:ascii="Times New Roman" w:hAnsi="Times New Roman"/>
          <w:color w:val="000000"/>
          <w:sz w:val="28"/>
        </w:rPr>
        <w:t xml:space="preserve"> по профилактике коррупционных и иных правонарушений </w:t>
      </w:r>
      <w:r>
        <w:rPr>
          <w:rFonts w:ascii="Times New Roman" w:hAnsi="Times New Roman"/>
          <w:color w:val="000000"/>
          <w:sz w:val="28"/>
        </w:rPr>
        <w:t>обязаны</w:t>
      </w:r>
      <w:r>
        <w:rPr>
          <w:rFonts w:ascii="Times New Roman" w:hAnsi="Times New Roman"/>
          <w:color w:val="000000"/>
          <w:sz w:val="28"/>
        </w:rPr>
        <w:t xml:space="preserve"> осуществлять анализ сведений о доходах, об имуществе и обязательствах имущественного характера, представляемых в соответствии с указанным Федеральным законом.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Кроме того, установлен запрет на размещение в сети «Интернет» сведений о доходах, об имуществе и обязательствах имущественного характера, представляемые лицами, замещающими должности, указанные в пунктах 1.1 - 3.2 части 1 статьи 8 Федерального закона от 25.12.2008 № 273-ФЗ «О противодействии коррупции».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bookmarkStart w:id="3" w:name="_GoBack"/>
      <w:bookmarkEnd w:id="3"/>
      <w:r>
        <w:rPr>
          <w:rFonts w:ascii="Times New Roman" w:hAnsi="Times New Roman"/>
          <w:color w:val="000000"/>
          <w:sz w:val="28"/>
        </w:rPr>
        <w:t>Вышеуказанные изменения вступили в законную силу с 1 января 2026 года.</w:t>
      </w:r>
    </w:p>
    <w:p w14:paraId="15000000">
      <w:pPr>
        <w:widowControl w:val="1"/>
        <w:tabs>
          <w:tab w:leader="none" w:pos="567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6000000">
      <w:pPr>
        <w:widowControl w:val="1"/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footerReference r:id="rId2" w:type="first"/>
      <w:pgSz w:h="16838" w:orient="portrait" w:w="11906"/>
      <w:pgMar w:bottom="1134" w:footer="680" w:gutter="0" w:header="68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1" w:topFromText="0" w:vertAnchor="text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sz="4" w:val="nil"/>
        <w:insideV w:sz="4" w:val="nil"/>
      </w:tblBorders>
      <w:tblLayout w:type="fixed"/>
    </w:tblPr>
    <w:tblGrid>
      <w:gridCol w:w="4678"/>
    </w:tblGrid>
    <w:tr>
      <w:tc>
        <w:tcPr>
          <w:tcW w:type="dxa" w:w="4678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</w:tcPr>
        <w:p w14:paraId="03000000">
          <w:pPr>
            <w:widowControl w:val="1"/>
            <w:ind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1"/>
        </w:p>
        <w:p w14:paraId="04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4678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</w:tcPr>
        <w:p w14:paraId="05000000">
          <w:pPr>
            <w:widowControl w:val="1"/>
            <w:ind/>
            <w:jc w:val="center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 xml:space="preserve">№ </w:t>
          </w:r>
          <w:bookmarkStart w:id="2" w:name="REGNUMSTAMP"/>
          <w:r>
            <w:rPr>
              <w:rFonts w:ascii="Times New Roman" w:hAnsi="Times New Roman"/>
              <w:sz w:val="20"/>
            </w:rPr>
            <w:t>рег</w:t>
          </w:r>
          <w:bookmarkEnd w:id="2"/>
        </w:p>
      </w:tc>
    </w:tr>
  </w:tbl>
  <w:p w14:paraId="06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No Spacing"/>
    <w:link w:val="Style_5_ch"/>
    <w:pPr>
      <w:widowControl w:val="1"/>
      <w:spacing w:after="0" w:line="240" w:lineRule="auto"/>
      <w:ind/>
    </w:pPr>
  </w:style>
  <w:style w:styleId="Style_5_ch" w:type="character">
    <w:name w:val="No Spacing"/>
    <w:link w:val="Style_5"/>
  </w:style>
  <w:style w:styleId="Style_6" w:type="paragraph">
    <w:name w:val="toc 2"/>
    <w:next w:val="Style_4"/>
    <w:link w:val="Style_6_ch"/>
    <w:uiPriority w:val="39"/>
    <w:pPr>
      <w:widowControl w:val="1"/>
      <w:ind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7" w:type="paragraph">
    <w:name w:val="toc 4"/>
    <w:next w:val="Style_4"/>
    <w:link w:val="Style_7_ch"/>
    <w:uiPriority w:val="39"/>
    <w:pPr>
      <w:widowControl w:val="1"/>
      <w:ind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Основной шрифт абзаца1"/>
    <w:link w:val="Style_8_ch"/>
  </w:style>
  <w:style w:styleId="Style_8_ch" w:type="character">
    <w:name w:val="Основной шрифт абзаца1"/>
    <w:link w:val="Style_8"/>
  </w:style>
  <w:style w:styleId="Style_9" w:type="paragraph">
    <w:name w:val="toc 6"/>
    <w:next w:val="Style_4"/>
    <w:link w:val="Style_9_ch"/>
    <w:uiPriority w:val="39"/>
    <w:pPr>
      <w:widowControl w:val="1"/>
      <w:ind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widowControl w:val="1"/>
      <w:ind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/>
      <w:jc w:val="both"/>
    </w:pPr>
    <w:rPr>
      <w:rFonts w:ascii="XO Thames" w:hAnsi="XO Thames"/>
    </w:rPr>
  </w:style>
  <w:style w:styleId="Style_11_ch" w:type="character">
    <w:name w:val="Endnote"/>
    <w:link w:val="Style_11"/>
    <w:rPr>
      <w:rFonts w:ascii="XO Thames" w:hAnsi="XO Thames"/>
    </w:rPr>
  </w:style>
  <w:style w:styleId="Style_12" w:type="paragraph">
    <w:name w:val="heading 3"/>
    <w:next w:val="Style_4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3" w:type="paragraph">
    <w:name w:val="foot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13" w:type="paragraph">
    <w:name w:val="Strong"/>
    <w:basedOn w:val="Style_14"/>
    <w:link w:val="Style_13_ch"/>
    <w:rPr>
      <w:b w:val="1"/>
    </w:rPr>
  </w:style>
  <w:style w:styleId="Style_13_ch" w:type="character">
    <w:name w:val="Strong"/>
    <w:basedOn w:val="Style_14_ch"/>
    <w:link w:val="Style_13"/>
    <w:rPr>
      <w:b w:val="1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3"/>
    <w:next w:val="Style_4"/>
    <w:link w:val="Style_15_ch"/>
    <w:uiPriority w:val="39"/>
    <w:pPr>
      <w:widowControl w:val="1"/>
      <w:ind w:left="400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Balloon Text"/>
    <w:basedOn w:val="Style_4"/>
    <w:link w:val="Style_16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6_ch" w:type="character">
    <w:name w:val="Balloon Text"/>
    <w:basedOn w:val="Style_4_ch"/>
    <w:link w:val="Style_16"/>
    <w:rPr>
      <w:rFonts w:ascii="Tahoma" w:hAnsi="Tahoma"/>
      <w:sz w:val="16"/>
    </w:rPr>
  </w:style>
  <w:style w:styleId="Style_17" w:type="paragraph">
    <w:name w:val="Normal (Web)"/>
    <w:basedOn w:val="Style_4"/>
    <w:link w:val="Style_17_ch"/>
    <w:pPr>
      <w:widowControl w:val="1"/>
      <w:spacing w:afterAutospacing="on" w:beforeAutospacing="on" w:line="240" w:lineRule="auto"/>
      <w:ind/>
    </w:pPr>
    <w:rPr>
      <w:rFonts w:ascii="Times New Roman" w:hAnsi="Times New Roman"/>
      <w:color w:val="000000"/>
      <w:sz w:val="24"/>
    </w:rPr>
  </w:style>
  <w:style w:styleId="Style_17_ch" w:type="character">
    <w:name w:val="Normal (Web)"/>
    <w:basedOn w:val="Style_4_ch"/>
    <w:link w:val="Style_17"/>
    <w:rPr>
      <w:rFonts w:ascii="Times New Roman" w:hAnsi="Times New Roman"/>
      <w:color w:val="000000"/>
      <w:sz w:val="24"/>
    </w:rPr>
  </w:style>
  <w:style w:styleId="Style_18" w:type="paragraph">
    <w:name w:val="heading 5"/>
    <w:next w:val="Style_4"/>
    <w:link w:val="Style_1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8_ch" w:type="character">
    <w:name w:val="heading 5"/>
    <w:link w:val="Style_18"/>
    <w:rPr>
      <w:rFonts w:ascii="XO Thames" w:hAnsi="XO Thames"/>
      <w:b w:val="1"/>
    </w:rPr>
  </w:style>
  <w:style w:styleId="Style_19" w:type="paragraph">
    <w:name w:val="heading 1"/>
    <w:next w:val="Style_4"/>
    <w:link w:val="Style_19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widowControl w:val="1"/>
      <w:ind w:firstLine="851"/>
      <w:jc w:val="both"/>
    </w:pPr>
    <w:rPr>
      <w:rFonts w:ascii="XO Thames" w:hAnsi="XO Thames"/>
    </w:rPr>
  </w:style>
  <w:style w:styleId="Style_21_ch" w:type="character">
    <w:name w:val="Footnote"/>
    <w:link w:val="Style_21"/>
    <w:rPr>
      <w:rFonts w:ascii="XO Thames" w:hAnsi="XO Thames"/>
    </w:rPr>
  </w:style>
  <w:style w:styleId="Style_22" w:type="paragraph">
    <w:name w:val="toc 1"/>
    <w:next w:val="Style_4"/>
    <w:link w:val="Style_22_ch"/>
    <w:uiPriority w:val="39"/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feeds-page__navigation_tooltip"/>
    <w:basedOn w:val="Style_14"/>
    <w:link w:val="Style_24_ch"/>
  </w:style>
  <w:style w:styleId="Style_24_ch" w:type="character">
    <w:name w:val="feeds-page__navigation_tooltip"/>
    <w:basedOn w:val="Style_14_ch"/>
    <w:link w:val="Style_24"/>
  </w:style>
  <w:style w:styleId="Style_25" w:type="paragraph">
    <w:name w:val="Гиперссылка1"/>
    <w:link w:val="Style_25_ch"/>
    <w:rPr>
      <w:color w:val="0000FF"/>
      <w:u w:val="single"/>
    </w:rPr>
  </w:style>
  <w:style w:styleId="Style_25_ch" w:type="character">
    <w:name w:val="Гиперссылка1"/>
    <w:link w:val="Style_25"/>
    <w:rPr>
      <w:color w:val="0000FF"/>
      <w:u w:val="single"/>
    </w:rPr>
  </w:style>
  <w:style w:styleId="Style_26" w:type="paragraph">
    <w:name w:val="toc 9"/>
    <w:next w:val="Style_4"/>
    <w:link w:val="Style_26_ch"/>
    <w:uiPriority w:val="39"/>
    <w:pPr>
      <w:widowControl w:val="1"/>
      <w:ind w:left="1600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Обычный1"/>
    <w:link w:val="Style_27_ch"/>
  </w:style>
  <w:style w:styleId="Style_27_ch" w:type="character">
    <w:name w:val="Обычный1"/>
    <w:link w:val="Style_27"/>
  </w:style>
  <w:style w:styleId="Style_28" w:type="paragraph">
    <w:name w:val="toc 8"/>
    <w:next w:val="Style_4"/>
    <w:link w:val="Style_28_ch"/>
    <w:uiPriority w:val="39"/>
    <w:pPr>
      <w:widowControl w:val="1"/>
      <w:ind w:left="1400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Обычный1"/>
    <w:link w:val="Style_29_ch"/>
  </w:style>
  <w:style w:styleId="Style_29_ch" w:type="character">
    <w:name w:val="Обычный1"/>
    <w:link w:val="Style_29"/>
  </w:style>
  <w:style w:styleId="Style_30" w:type="paragraph">
    <w:name w:val="toc 5"/>
    <w:next w:val="Style_4"/>
    <w:link w:val="Style_30_ch"/>
    <w:uiPriority w:val="39"/>
    <w:pPr>
      <w:widowControl w:val="1"/>
      <w:ind w:left="800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ubtitle"/>
    <w:next w:val="Style_4"/>
    <w:link w:val="Style_3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4"/>
    <w:link w:val="Style_3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4"/>
    <w:link w:val="Style_3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4"/>
    <w:link w:val="Style_3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5" w:type="paragraph">
    <w:name w:val="Основной шрифт абзаца1"/>
    <w:link w:val="Style_35_ch"/>
  </w:style>
  <w:style w:styleId="Style_35_ch" w:type="character">
    <w:name w:val="Основной шрифт абзаца1"/>
    <w:link w:val="Style_35"/>
  </w:style>
  <w:style w:styleId="Style_36" w:type="paragraph">
    <w:name w:val="Гиперссылка1"/>
    <w:link w:val="Style_36_ch"/>
    <w:rPr>
      <w:color w:val="0000FF"/>
      <w:u w:val="single"/>
    </w:rPr>
  </w:style>
  <w:style w:styleId="Style_36_ch" w:type="character">
    <w:name w:val="Гиперссылка1"/>
    <w:link w:val="Style_36"/>
    <w:rPr>
      <w:color w:val="0000FF"/>
      <w:u w:val="single"/>
    </w:rPr>
  </w:style>
  <w:style w:styleId="Style_37" w:type="table">
    <w:name w:val="Сетка таблицы светлая2"/>
    <w:basedOn w:val="Style_38"/>
    <w:pPr>
      <w:widowControl w:val="1"/>
      <w:spacing w:after="0" w:line="240" w:lineRule="auto"/>
      <w:ind/>
    </w:pPr>
    <w:tblPr>
      <w:tblInd w:type="dxa" w:w="0"/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38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Сетка таблицы светлая1"/>
    <w:basedOn w:val="Style_38"/>
    <w:pPr>
      <w:widowControl w:val="1"/>
      <w:spacing w:after="0" w:line="240" w:lineRule="auto"/>
      <w:ind/>
    </w:pPr>
    <w:tblPr>
      <w:tblInd w:type="dxa" w:w="0"/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2026-01-22T11:08:00Z</dcterms:created>
  <dcterms:modified xsi:type="dcterms:W3CDTF">2026-02-04T05:42:01Z</dcterms:modified>
</cp:coreProperties>
</file>