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widowControl w:val="1"/>
        <w:spacing w:after="0" w:before="0" w:line="180" w:lineRule="atLeast"/>
        <w:ind w:firstLine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О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>несении изменений в федеральное законодательства о государственном и муниципальном контроле</w:t>
      </w:r>
    </w:p>
    <w:p w14:paraId="08000000">
      <w:pPr>
        <w:pStyle w:val="Style_4"/>
        <w:widowControl w:val="1"/>
        <w:spacing w:after="0" w:before="0" w:line="180" w:lineRule="atLeast"/>
        <w:ind w:firstLine="850"/>
        <w:jc w:val="both"/>
        <w:rPr>
          <w:rFonts w:ascii="Times New Roman" w:hAnsi="Times New Roman"/>
          <w:b w:val="0"/>
          <w:sz w:val="28"/>
        </w:rPr>
      </w:pPr>
    </w:p>
    <w:p w14:paraId="09000000">
      <w:pPr>
        <w:pStyle w:val="Style_4"/>
        <w:widowControl w:val="1"/>
        <w:spacing w:after="0" w:before="0" w:line="180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Федер</w:t>
      </w:r>
      <w:r>
        <w:rPr>
          <w:rFonts w:ascii="Times New Roman" w:hAnsi="Times New Roman"/>
          <w:sz w:val="28"/>
        </w:rPr>
        <w:t>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от 29.12.2025 № 567-ФЗ </w:t>
      </w:r>
      <w:r>
        <w:rPr>
          <w:rFonts w:ascii="Times New Roman" w:hAnsi="Times New Roman"/>
          <w:sz w:val="28"/>
        </w:rPr>
        <w:t>в Федеральный закон</w:t>
      </w:r>
      <w:r>
        <w:rPr>
          <w:rFonts w:ascii="Times New Roman" w:hAnsi="Times New Roman"/>
          <w:sz w:val="28"/>
        </w:rPr>
        <w:t xml:space="preserve"> от 31.07.2020 № 248-ФЗ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</w:rPr>
        <w:t xml:space="preserve">» (далее – </w:t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248</w:t>
      </w:r>
      <w:r>
        <w:rPr>
          <w:rFonts w:ascii="Times New Roman" w:hAnsi="Times New Roman"/>
          <w:sz w:val="28"/>
        </w:rPr>
        <w:t>-ФЗ</w:t>
      </w:r>
      <w:r>
        <w:rPr>
          <w:rFonts w:ascii="Times New Roman" w:hAnsi="Times New Roman"/>
          <w:sz w:val="28"/>
        </w:rPr>
        <w:t xml:space="preserve">) внесены изменения, которые должны в обязательном порядке учитываться при нормативном регулировании </w:t>
      </w:r>
      <w:r>
        <w:rPr>
          <w:rFonts w:ascii="Times New Roman" w:hAnsi="Times New Roman"/>
          <w:sz w:val="28"/>
        </w:rPr>
        <w:t xml:space="preserve">организации и осуществления муниципального контроля </w:t>
      </w:r>
      <w:r>
        <w:rPr>
          <w:rFonts w:ascii="Times New Roman" w:hAnsi="Times New Roman"/>
          <w:sz w:val="28"/>
        </w:rPr>
        <w:t>на территории города Перми.</w:t>
      </w:r>
    </w:p>
    <w:p w14:paraId="0A000000">
      <w:pPr>
        <w:pStyle w:val="Style_4"/>
        <w:widowControl w:val="1"/>
        <w:spacing w:after="0" w:before="0" w:line="180" w:lineRule="atLeast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</w:t>
      </w:r>
      <w:r>
        <w:rPr>
          <w:rFonts w:ascii="Times New Roman" w:hAnsi="Times New Roman"/>
          <w:sz w:val="28"/>
        </w:rPr>
        <w:t xml:space="preserve">в статью 50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248</w:t>
      </w:r>
      <w:r>
        <w:rPr>
          <w:rFonts w:ascii="Times New Roman" w:hAnsi="Times New Roman"/>
          <w:sz w:val="28"/>
        </w:rPr>
        <w:t>-ФЗ внесены изменения, в соответствии с которыми к</w:t>
      </w:r>
      <w:r>
        <w:rPr>
          <w:rFonts w:ascii="Times New Roman" w:hAnsi="Times New Roman"/>
          <w:b w:val="0"/>
          <w:sz w:val="28"/>
        </w:rPr>
        <w:t>онсультирование может осуществляться также посредством использования мобильного приложения «Инспектор».</w:t>
      </w:r>
    </w:p>
    <w:p w14:paraId="0B000000">
      <w:pPr>
        <w:pStyle w:val="Style_4"/>
        <w:widowControl w:val="1"/>
        <w:spacing w:after="0" w:before="0" w:line="180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Введенной </w:t>
      </w:r>
      <w:r>
        <w:rPr>
          <w:rFonts w:ascii="Times New Roman" w:hAnsi="Times New Roman"/>
          <w:b w:val="0"/>
          <w:sz w:val="28"/>
        </w:rPr>
        <w:t xml:space="preserve">в статью 61.1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248</w:t>
      </w:r>
      <w:r>
        <w:rPr>
          <w:rFonts w:ascii="Times New Roman" w:hAnsi="Times New Roman"/>
          <w:sz w:val="28"/>
        </w:rPr>
        <w:t xml:space="preserve">-ФЗ </w:t>
      </w:r>
      <w:r>
        <w:rPr>
          <w:rFonts w:ascii="Times New Roman" w:hAnsi="Times New Roman"/>
          <w:b w:val="0"/>
          <w:sz w:val="28"/>
        </w:rPr>
        <w:t xml:space="preserve">частью 1.1 предусмотрено, что </w:t>
      </w:r>
      <w:r>
        <w:rPr>
          <w:rFonts w:ascii="Times New Roman" w:hAnsi="Times New Roman"/>
          <w:b w:val="0"/>
          <w:sz w:val="28"/>
        </w:rPr>
        <w:t>конкретные значения параметров объектов контроля либо порядок их расчета и (или) применения индикаторов риска могут содержаться в н</w:t>
      </w:r>
      <w:r>
        <w:rPr>
          <w:rFonts w:ascii="Times New Roman" w:hAnsi="Times New Roman"/>
          <w:b w:val="0"/>
          <w:sz w:val="28"/>
        </w:rPr>
        <w:t>ормативном правовом акте об утверждении перечня индикаторов риска нарушения обязательных требований.</w:t>
      </w:r>
    </w:p>
    <w:p w14:paraId="0C000000">
      <w:pPr>
        <w:pStyle w:val="Style_4"/>
        <w:widowControl w:val="1"/>
        <w:spacing w:after="0" w:before="0" w:line="180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 учетом изменений, внесенных в статью 72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закона       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248</w:t>
      </w:r>
      <w:r>
        <w:rPr>
          <w:rFonts w:ascii="Times New Roman" w:hAnsi="Times New Roman"/>
          <w:sz w:val="28"/>
        </w:rPr>
        <w:t xml:space="preserve">-ФЗ, в ходе документарной проверки такие </w:t>
      </w:r>
      <w:r>
        <w:rPr>
          <w:rFonts w:ascii="Times New Roman" w:hAnsi="Times New Roman"/>
          <w:b w:val="0"/>
          <w:sz w:val="28"/>
        </w:rPr>
        <w:t xml:space="preserve">контрольные (надзорные) действия как </w:t>
      </w:r>
      <w:r>
        <w:rPr>
          <w:rFonts w:ascii="Times New Roman" w:hAnsi="Times New Roman"/>
          <w:b w:val="0"/>
          <w:sz w:val="28"/>
        </w:rPr>
        <w:t xml:space="preserve">получение письменных объяснений, </w:t>
      </w:r>
      <w:r>
        <w:rPr>
          <w:rFonts w:ascii="Times New Roman" w:hAnsi="Times New Roman"/>
          <w:b w:val="0"/>
          <w:sz w:val="28"/>
        </w:rPr>
        <w:t>истребование документов,</w:t>
      </w:r>
      <w:r>
        <w:rPr>
          <w:rFonts w:ascii="Times New Roman" w:hAnsi="Times New Roman"/>
          <w:b w:val="0"/>
          <w:sz w:val="28"/>
        </w:rPr>
        <w:t xml:space="preserve"> экспертиза могут совершаться только в том случае, если </w:t>
      </w:r>
      <w:r>
        <w:rPr>
          <w:rFonts w:ascii="Times New Roman" w:hAnsi="Times New Roman"/>
          <w:b w:val="0"/>
          <w:sz w:val="28"/>
        </w:rPr>
        <w:t>имеющихся в распоряжении у контрольного (надзорного) органа сведений и документов недостаточно.</w:t>
      </w:r>
    </w:p>
    <w:p w14:paraId="0D000000">
      <w:pPr>
        <w:pStyle w:val="Style_4"/>
        <w:widowControl w:val="1"/>
        <w:spacing w:after="0" w:before="0" w:line="180" w:lineRule="atLeast"/>
        <w:ind w:firstLine="85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Также во вновь введенной норме части 7.1 статьи 73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закона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248</w:t>
      </w:r>
      <w:r>
        <w:rPr>
          <w:rFonts w:ascii="Times New Roman" w:hAnsi="Times New Roman"/>
          <w:sz w:val="28"/>
        </w:rPr>
        <w:t xml:space="preserve">-ФЗ определены особенности исчисления </w:t>
      </w:r>
      <w:r>
        <w:rPr>
          <w:rFonts w:ascii="Times New Roman" w:hAnsi="Times New Roman"/>
          <w:b w:val="0"/>
          <w:sz w:val="28"/>
        </w:rPr>
        <w:t>сроков проведения выездных проверок и сроков взаимодействия с социально ориентированными некоммерческими организациями.</w:t>
      </w:r>
    </w:p>
    <w:p w14:paraId="0E000000">
      <w:pPr>
        <w:widowControl w:val="1"/>
        <w:spacing w:after="0" w:line="360" w:lineRule="exact"/>
        <w:ind w:right="4778"/>
        <w:jc w:val="both"/>
        <w:rPr>
          <w:rFonts w:ascii="Times New Roman" w:hAnsi="Times New Roman"/>
          <w:sz w:val="20"/>
        </w:rPr>
      </w:pPr>
    </w:p>
    <w:sectPr>
      <w:headerReference r:id="rId1" w:type="default"/>
      <w:footerReference r:id="rId2" w:type="first"/>
      <w:pgSz w:h="16838" w:orient="portrait" w:w="11906"/>
      <w:pgMar w:bottom="1134" w:footer="680" w:gutter="0" w:header="68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1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4678"/>
    </w:tblGrid>
    <w:tr>
      <w:tc>
        <w:tcPr>
          <w:tcW w:type="dxa" w:w="4678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4678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widowControl w:val="1"/>
            <w:ind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3" w:type="paragraph">
    <w:name w:val="foot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5_ch"/>
    <w:link w:val="Style_3"/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nformat"/>
    <w:link w:val="Style_13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Balloon Text"/>
    <w:basedOn w:val="Style_5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5" w:type="paragraph">
    <w:name w:val="toc 3"/>
    <w:next w:val="Style_5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23" w:type="paragraph">
    <w:name w:val="toc 8"/>
    <w:next w:val="Style_5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Сетка таблицы светлая2"/>
    <w:basedOn w:val="Style_30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 светлая1"/>
    <w:basedOn w:val="Style_30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2026-02-10T11:27:33Z</dcterms:created>
  <dcterms:modified xsi:type="dcterms:W3CDTF">2026-03-02T11:58:12Z</dcterms:modified>
</cp:coreProperties>
</file>