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Ответственность за совершение террористического акта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3 ст. 3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Федерального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от 06.03.2006 N 35-ФЗ «О противодействии терроризму» (далее – Закон о противодействии терроризму)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под террористическим актом понимается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целях. </w:t>
      </w:r>
    </w:p>
    <w:p w14:paraId="04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А</w:t>
      </w:r>
      <w:r>
        <w:rPr>
          <w:rFonts w:ascii="Times New Roman" w:hAnsi="Times New Roman"/>
          <w:b w:val="0"/>
          <w:color w:val="000000"/>
          <w:sz w:val="28"/>
          <w:u w:val="none"/>
        </w:rPr>
        <w:t>налогичное определение закреплено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в нормах статьи 205 Уголовного кодекса Российской Федерации и раскрывается в положениях п</w:t>
      </w:r>
      <w:r>
        <w:rPr>
          <w:rFonts w:ascii="Times New Roman" w:hAnsi="Times New Roman"/>
          <w:b w:val="0"/>
          <w:color w:val="000000"/>
          <w:sz w:val="28"/>
          <w:u w:val="none"/>
        </w:rPr>
        <w:t>остановления Пленума Верховного Суда РФ от 09.02.2012 № 1.</w:t>
      </w:r>
    </w:p>
    <w:p w14:paraId="05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Так, основаниями для уголовного преследования являются совершение взрыва, поджога или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иных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действий,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устрашающих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население 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создающих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опасность гибели человека, причинения значительного имущественного ущерба либо наступления иных тяжких последствий,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целях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дестабилизации деятельности органов власти или международных организаций либо воздействия на принятие ими решений, а также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угроза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совершения указанных действий в целях воздействия на принятие решений органами власти или международными организациями.</w:t>
      </w:r>
    </w:p>
    <w:p w14:paraId="06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Указанные деяния наказываются лишением свободы на срок от десяти до двадцати лет.</w:t>
      </w:r>
    </w:p>
    <w:p w14:paraId="07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Те же деяния, совершенные группой лиц по предварительному сговору или организованной группой или повлекшие причинение значительного имущественного ущерба либо наступление иных тяжких последствий квалифицируются по ч. 2 ст. 205 УК РФ и влекут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лишение свободы на срок от 12 до 20 лет с ограничением свободы на срок от 1 года до 2 лет.</w:t>
      </w:r>
    </w:p>
    <w:p w14:paraId="08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Квалификации по ч. 3 ст. 205 УК РФ подлежат деяния, сопряженные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агентов;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повлекшие причинение смерти человеку.</w:t>
      </w:r>
    </w:p>
    <w:p w14:paraId="09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На основании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3 ст. 205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УК совершение теракта с указанными квалифицирующими признаками влечет лишение свободы на срок от 15 до 20 лет </w:t>
      </w:r>
      <w:r>
        <w:rPr>
          <w:rFonts w:ascii="Times New Roman" w:hAnsi="Times New Roman"/>
          <w:b w:val="0"/>
          <w:color w:val="000000"/>
          <w:sz w:val="28"/>
          <w:u w:val="none"/>
        </w:rPr>
        <w:t>с ограничением свободы на срок от 1 года до 2 лет или пожизненное лишение свободы.</w:t>
      </w:r>
    </w:p>
    <w:p w14:paraId="0A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Исходя из положений ч. 2 ст. 20 УК РФ уголовной ответственности по ст. 205 УК РФ подлежит лицо, достигшее ко времени совершения преступления 14-летнего возраста.</w:t>
      </w:r>
    </w:p>
    <w:p w14:paraId="0B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Важно также отметить, что своевременное предупреждение органов власти или способствование предотвращению осуществления террористического акта другим способом является основанием для освобождения лица, участвовавшего в подготовке террористического акта, от уголовной ответственности при условии, что в его действиях не содержится иного состава преступления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примечание к ст. 205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УК РФ).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E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2F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2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4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5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6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7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</w:p>
    <w:p w14:paraId="3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i w:val="1"/>
          <w:sz w:val="20"/>
        </w:rPr>
        <w:t>Подготовлено помощником прокурора города Перми Потаповым В.В.</w:t>
      </w:r>
    </w:p>
    <w:sectPr>
      <w:pgSz w:h="16838" w:orient="portrait" w:w="11906"/>
      <w:pgMar w:bottom="1134" w:footer="708" w:gutter="0" w:header="708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563C1"/>
      <w:u w:val="single"/>
    </w:rPr>
  </w:style>
  <w:style w:styleId="Style_12_ch" w:type="character">
    <w:name w:val="Hyperlink"/>
    <w:basedOn w:val="Style_8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Unresolved Mention"/>
    <w:basedOn w:val="Style_8"/>
    <w:link w:val="Style_19_ch"/>
    <w:rPr>
      <w:color w:val="605E5C"/>
      <w:shd w:fill="E1DFDD" w:val="clear"/>
    </w:rPr>
  </w:style>
  <w:style w:styleId="Style_19_ch" w:type="character">
    <w:name w:val="Unresolved Mention"/>
    <w:basedOn w:val="Style_8_ch"/>
    <w:link w:val="Style_19"/>
    <w:rPr>
      <w:color w:val="605E5C"/>
      <w:shd w:fill="E1DFDD" w:val="clear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2025-06-20T11:48:00Z</dcterms:created>
  <dcterms:modified xsi:type="dcterms:W3CDTF">2026-04-06T10:12:55Z</dcterms:modified>
</cp:coreProperties>
</file>