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Воинский учет в организациях</w:t>
      </w:r>
      <w:r>
        <w:rPr>
          <w:rFonts w:ascii="Times New Roman" w:hAnsi="Times New Roman"/>
          <w:sz w:val="28"/>
        </w:rPr>
        <w:br/>
      </w:r>
    </w:p>
    <w:p w14:paraId="02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Все организации обязаны вести воинский учет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своих сотрудников (</w:t>
      </w:r>
      <w:r>
        <w:rPr>
          <w:rStyle w:val="Style_1_ch"/>
          <w:rFonts w:ascii="Times New Roman" w:hAnsi="Times New Roman"/>
          <w:b w:val="0"/>
          <w:sz w:val="28"/>
        </w:rPr>
        <w:t>п. 7 ст. 8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Федерального закона от 28.03.1998 № 53-ФЗ).</w:t>
      </w:r>
    </w:p>
    <w:p w14:paraId="03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Воинский учет призывников и военнообязанных, работающих в организациях (далее – воинский учет)</w:t>
      </w:r>
      <w:r>
        <w:rPr>
          <w:rFonts w:ascii="Times New Roman" w:hAnsi="Times New Roman"/>
          <w:b w:val="0"/>
          <w:sz w:val="28"/>
        </w:rPr>
        <w:t xml:space="preserve"> - это комплекс мероприятий, осуществляемых руководителями, другими должностными лицами организаций:</w:t>
      </w:r>
    </w:p>
    <w:p w14:paraId="04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-  по ведению учета граждан, непосредственно работающих в этих организациях; </w:t>
      </w:r>
    </w:p>
    <w:p w14:paraId="05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- проведению анализа обеспеченности трудовыми ресурсами организаций в периоды мобилизации, военного положения и на военное время; </w:t>
      </w:r>
    </w:p>
    <w:p w14:paraId="06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- оказанию содействия военным комиссариатам в осуществлении воинского учета этих граждан по месту их жительства или месту пребывания в целях обеспечения обороны страны, безопасности государства, в том числе обеспечения своевременной явки граждан, подлежащих призыву на военную службу по мобилизации и состоящих с ними в трудовых отношениях, на сборные пункты или в воинские части.</w:t>
      </w:r>
    </w:p>
    <w:p w14:paraId="07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Style w:val="Style_1_ch"/>
          <w:rFonts w:ascii="Times New Roman" w:hAnsi="Times New Roman"/>
          <w:b w:val="1"/>
          <w:sz w:val="28"/>
        </w:rPr>
        <w:t>Осуществление воинского учета регламентировано:</w:t>
      </w:r>
    </w:p>
    <w:p w14:paraId="08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 xml:space="preserve">- </w:t>
      </w:r>
      <w:r>
        <w:rPr>
          <w:rStyle w:val="Style_1_ch"/>
          <w:rFonts w:ascii="Times New Roman" w:hAnsi="Times New Roman"/>
          <w:b w:val="0"/>
          <w:sz w:val="28"/>
        </w:rPr>
        <w:t>Федеральным законом от 28.03.1998 № 53-ФЗ «О воинской обязанности и военной службе»;</w:t>
      </w:r>
    </w:p>
    <w:p w14:paraId="09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 xml:space="preserve">- </w:t>
      </w:r>
      <w:r>
        <w:rPr>
          <w:rStyle w:val="Style_1_ch"/>
          <w:rFonts w:ascii="Times New Roman" w:hAnsi="Times New Roman"/>
          <w:b w:val="0"/>
          <w:sz w:val="28"/>
        </w:rPr>
        <w:t>Положением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о воинском учете, утвержденным Постановлением Правительства РФ от 27.11.2006 № 719 (далее - Положение о воинском учете);</w:t>
      </w:r>
    </w:p>
    <w:p w14:paraId="0A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 xml:space="preserve">- </w:t>
      </w:r>
      <w:r>
        <w:rPr>
          <w:rStyle w:val="Style_1_ch"/>
          <w:rFonts w:ascii="Times New Roman" w:hAnsi="Times New Roman"/>
          <w:b w:val="0"/>
          <w:sz w:val="28"/>
        </w:rPr>
        <w:t>Инструк</w:t>
      </w:r>
      <w:r>
        <w:rPr>
          <w:rStyle w:val="Style_1_ch"/>
          <w:rFonts w:ascii="Times New Roman" w:hAnsi="Times New Roman"/>
          <w:b w:val="0"/>
          <w:sz w:val="28"/>
        </w:rPr>
        <w:t>цией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 xml:space="preserve">об организации работы по обеспечению функционирования системы воинского учета, утвержденной Приказом Министра обороны РФ от 22.11.2021 № 700 (далее - Инструкция по воинскому учету); </w:t>
      </w:r>
    </w:p>
    <w:p w14:paraId="0B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- Методическими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рекомендациями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по ведению воинского учета в организациях, утвержденными Минобороны России 11.07.2017 (далее - Методические рекомендации).</w:t>
      </w:r>
    </w:p>
    <w:p w14:paraId="0C000000">
      <w:pPr>
        <w:pStyle w:val="Style_1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Цели и задачи воинского учета</w:t>
      </w:r>
    </w:p>
    <w:p w14:paraId="0D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Основные цели и задачи воинского учета изложены в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п.п. 2</w:t>
      </w:r>
      <w:r>
        <w:rPr>
          <w:rStyle w:val="Style_1_ch"/>
          <w:rFonts w:ascii="Times New Roman" w:hAnsi="Times New Roman"/>
          <w:b w:val="0"/>
          <w:sz w:val="28"/>
        </w:rPr>
        <w:t>,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3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Положения о воинском учете и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п. 3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Методических рекомендаций.</w:t>
      </w:r>
    </w:p>
    <w:p w14:paraId="0E000000">
      <w:pPr>
        <w:pStyle w:val="Style_1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Style w:val="Style_1_ch"/>
          <w:rFonts w:ascii="Times New Roman" w:hAnsi="Times New Roman"/>
          <w:b w:val="1"/>
          <w:sz w:val="28"/>
        </w:rPr>
        <w:t>Ответственный за ведение воинского учета</w:t>
      </w:r>
    </w:p>
    <w:p w14:paraId="0F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Работников, ответственных за ведение воинского учета, руководитель организации определяет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по своему усмотрению. В законе отсутствуют обязательные требования к их квалификации.</w:t>
      </w:r>
    </w:p>
    <w:p w14:paraId="10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Общее количество работников, осуществляющих воинский учет в организации, определяется исходя из количества граждан, состоящих на воинском учете в организации, по состоянию на 31 декабря года, предшествующего отчетному (</w:t>
      </w:r>
      <w:r>
        <w:rPr>
          <w:rStyle w:val="Style_1_ch"/>
          <w:rFonts w:ascii="Times New Roman" w:hAnsi="Times New Roman"/>
          <w:b w:val="0"/>
          <w:sz w:val="28"/>
        </w:rPr>
        <w:t>п. 13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Положения о воинском учете,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п. 19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 xml:space="preserve">Методических рекомендаций). </w:t>
      </w:r>
      <w:r>
        <w:rPr>
          <w:rStyle w:val="Style_1_ch"/>
          <w:rFonts w:ascii="Times New Roman" w:hAnsi="Times New Roman"/>
          <w:b w:val="0"/>
          <w:sz w:val="28"/>
        </w:rPr>
        <w:t>Если в организации воинский учет ведут два работника или более, они объединяются в отдельное подразделение - военно-учетный стол (</w:t>
      </w:r>
      <w:r>
        <w:rPr>
          <w:rStyle w:val="Style_1_ch"/>
          <w:rFonts w:ascii="Times New Roman" w:hAnsi="Times New Roman"/>
          <w:b w:val="0"/>
          <w:sz w:val="28"/>
        </w:rPr>
        <w:t>п. 19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Методических рекомендаций).</w:t>
      </w:r>
    </w:p>
    <w:p w14:paraId="11000000">
      <w:pPr>
        <w:pStyle w:val="Style_1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Кто подлежит воинскому учету?</w:t>
      </w:r>
    </w:p>
    <w:p w14:paraId="12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 xml:space="preserve">Воинскому учету в организациях </w:t>
      </w:r>
      <w:r>
        <w:rPr>
          <w:rStyle w:val="Style_1_ch"/>
          <w:rFonts w:ascii="Times New Roman" w:hAnsi="Times New Roman"/>
          <w:b w:val="1"/>
          <w:sz w:val="28"/>
        </w:rPr>
        <w:t>подлежат</w:t>
      </w:r>
      <w:r>
        <w:rPr>
          <w:rStyle w:val="Style_1_ch"/>
          <w:rFonts w:ascii="Times New Roman" w:hAnsi="Times New Roman"/>
          <w:b w:val="0"/>
          <w:sz w:val="28"/>
        </w:rPr>
        <w:t xml:space="preserve"> (</w:t>
      </w:r>
      <w:r>
        <w:rPr>
          <w:rStyle w:val="Style_1_ch"/>
          <w:rFonts w:ascii="Times New Roman" w:hAnsi="Times New Roman"/>
          <w:b w:val="0"/>
          <w:sz w:val="28"/>
        </w:rPr>
        <w:t>п. 14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Положения о воинском учете):</w:t>
      </w:r>
    </w:p>
    <w:p w14:paraId="13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1) призывники - граждане мужского пола в возрасте от 18 до 30 лет, обязанные состоять на воинском учете и не пребывающие в запасе;</w:t>
      </w:r>
    </w:p>
    <w:p w14:paraId="14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2) военнообязанные - граждане, пребывающие в запасе. Категории таких граждан установлены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п. 1 ст. 52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Закона о воинской обязанности.</w:t>
      </w:r>
    </w:p>
    <w:p w14:paraId="15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1"/>
          <w:sz w:val="28"/>
        </w:rPr>
        <w:t>Не подлежат</w:t>
      </w:r>
      <w:r>
        <w:rPr>
          <w:rStyle w:val="Style_1_ch"/>
          <w:rFonts w:ascii="Times New Roman" w:hAnsi="Times New Roman"/>
          <w:b w:val="0"/>
          <w:sz w:val="28"/>
        </w:rPr>
        <w:t xml:space="preserve"> воинскому учету граждане (</w:t>
      </w:r>
      <w:r>
        <w:rPr>
          <w:rStyle w:val="Style_1_ch"/>
          <w:rFonts w:ascii="Times New Roman" w:hAnsi="Times New Roman"/>
          <w:b w:val="0"/>
          <w:sz w:val="28"/>
        </w:rPr>
        <w:t>п. 15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Положения о воинском учете):</w:t>
      </w:r>
    </w:p>
    <w:p w14:paraId="16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1) освобожденные от исполнения воинской обязанности в соответствии со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ст. 23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Закона о воинской обязанности;</w:t>
      </w:r>
    </w:p>
    <w:p w14:paraId="17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2) проходящие военную службу;</w:t>
      </w:r>
    </w:p>
    <w:p w14:paraId="18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3) женского пола, не имеющие военно-учетной специальности;</w:t>
      </w:r>
    </w:p>
    <w:p w14:paraId="19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4) постоянно проживающие за пределами РФ;</w:t>
      </w:r>
    </w:p>
    <w:p w14:paraId="1A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5) имеющие воинские звания офицеров и пребывающие в запасе Службы внешней разведки РФ и Федеральной службы безопасности РФ.</w:t>
      </w:r>
    </w:p>
    <w:p w14:paraId="1B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При этом воинский учет военнообязанных (кроме граждан, отбывающих наказание в виде лишения свободы) подразделяется на специальный и общий (</w:t>
      </w:r>
      <w:r>
        <w:rPr>
          <w:rStyle w:val="Style_1_ch"/>
          <w:rFonts w:ascii="Times New Roman" w:hAnsi="Times New Roman"/>
          <w:b w:val="0"/>
          <w:sz w:val="28"/>
        </w:rPr>
        <w:t>п. 16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Положения о воинском учете).</w:t>
      </w:r>
    </w:p>
    <w:p w14:paraId="1C000000">
      <w:pPr>
        <w:pStyle w:val="Style_1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Документы, необходимые для ведения воинского учета в организациях</w:t>
      </w:r>
    </w:p>
    <w:p w14:paraId="1D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Вои</w:t>
      </w:r>
      <w:r>
        <w:rPr>
          <w:rStyle w:val="Style_1_ch"/>
          <w:rFonts w:ascii="Times New Roman" w:hAnsi="Times New Roman"/>
          <w:b w:val="0"/>
          <w:sz w:val="28"/>
        </w:rPr>
        <w:t xml:space="preserve">нский учет в организациях должен вестись по документам, перечень, формы, порядок </w:t>
      </w:r>
      <w:r>
        <w:rPr>
          <w:rStyle w:val="Style_1_ch"/>
          <w:rFonts w:ascii="Times New Roman" w:hAnsi="Times New Roman"/>
          <w:b w:val="0"/>
          <w:sz w:val="28"/>
        </w:rPr>
        <w:t>заполнения и хранения которых устанавливается Минобороны России (</w:t>
      </w:r>
      <w:r>
        <w:rPr>
          <w:rStyle w:val="Style_1_ch"/>
          <w:rFonts w:ascii="Times New Roman" w:hAnsi="Times New Roman"/>
          <w:b w:val="0"/>
          <w:sz w:val="28"/>
        </w:rPr>
        <w:t>п. 27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Положения о воинском учете)</w:t>
      </w:r>
      <w:r>
        <w:rPr>
          <w:rStyle w:val="Style_1_ch"/>
          <w:rFonts w:ascii="Times New Roman" w:hAnsi="Times New Roman"/>
          <w:b w:val="0"/>
          <w:sz w:val="28"/>
        </w:rPr>
        <w:t>.</w:t>
      </w:r>
    </w:p>
    <w:p w14:paraId="1E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В частности, необходимо ведение (</w:t>
      </w:r>
      <w:r>
        <w:rPr>
          <w:rStyle w:val="Style_1_ch"/>
          <w:rFonts w:ascii="Times New Roman" w:hAnsi="Times New Roman"/>
          <w:b w:val="0"/>
          <w:sz w:val="28"/>
        </w:rPr>
        <w:t>разд. IV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Инструкции по воинскому учету)</w:t>
      </w:r>
      <w:r>
        <w:rPr>
          <w:rStyle w:val="Style_1_ch"/>
          <w:rFonts w:ascii="Times New Roman" w:hAnsi="Times New Roman"/>
          <w:b w:val="0"/>
          <w:sz w:val="28"/>
        </w:rPr>
        <w:t>:</w:t>
      </w:r>
    </w:p>
    <w:p w14:paraId="1F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1) карточек граждан, подлежащих воинскому учету в организации (</w:t>
      </w:r>
      <w:r>
        <w:rPr>
          <w:rStyle w:val="Style_1_ch"/>
          <w:rFonts w:ascii="Times New Roman" w:hAnsi="Times New Roman"/>
          <w:b w:val="0"/>
          <w:sz w:val="28"/>
        </w:rPr>
        <w:t>форма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карточки приведена в Приложении № 22 к Инструкции по воинскому учету);</w:t>
      </w:r>
    </w:p>
    <w:p w14:paraId="20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2) картотеки указанных карточек.</w:t>
      </w:r>
    </w:p>
    <w:p w14:paraId="21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Кроме того,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Инструкцией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по воинскому учету предусмотрено, что в организациях должны храниться вторые экземпляры списков граждан, пребывающих в запасе, с указанием регистрационного номера и даты отправки.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Форма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списков установлена Приложением № 23 к указанной Инструкции (</w:t>
      </w:r>
      <w:r>
        <w:rPr>
          <w:rStyle w:val="Style_1_ch"/>
          <w:rFonts w:ascii="Times New Roman" w:hAnsi="Times New Roman"/>
          <w:b w:val="0"/>
          <w:sz w:val="28"/>
        </w:rPr>
        <w:t>п. 36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этой Инструкции).</w:t>
      </w:r>
    </w:p>
    <w:p w14:paraId="22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 xml:space="preserve">В организации также должен быть журнал проверок осуществления воинского учета. </w:t>
      </w:r>
      <w:r>
        <w:rPr>
          <w:rStyle w:val="Style_1_ch"/>
          <w:rFonts w:ascii="Times New Roman" w:hAnsi="Times New Roman"/>
          <w:b w:val="0"/>
          <w:sz w:val="28"/>
        </w:rPr>
        <w:t>Форма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ж</w:t>
      </w:r>
      <w:r>
        <w:rPr>
          <w:rStyle w:val="Style_1_ch"/>
          <w:rFonts w:ascii="Times New Roman" w:hAnsi="Times New Roman"/>
          <w:b w:val="0"/>
          <w:sz w:val="28"/>
        </w:rPr>
        <w:t xml:space="preserve">урнала установлена Приложением № 29 к Инструкции по воинскому учету. </w:t>
      </w:r>
    </w:p>
    <w:p w14:paraId="23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Каждая организация для осуществления воинского учета разрабатывает (ведет), в частности (</w:t>
      </w:r>
      <w:r>
        <w:rPr>
          <w:rStyle w:val="Style_1_ch"/>
          <w:rFonts w:ascii="Times New Roman" w:hAnsi="Times New Roman"/>
          <w:b w:val="0"/>
          <w:sz w:val="28"/>
        </w:rPr>
        <w:t>п. 39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Методических рекомендаций):</w:t>
      </w:r>
    </w:p>
    <w:p w14:paraId="24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 xml:space="preserve">1) приказ об организации воинского учета по установленной форме, </w:t>
      </w:r>
      <w:r>
        <w:rPr>
          <w:rStyle w:val="Style_1_ch"/>
          <w:rFonts w:ascii="Times New Roman" w:hAnsi="Times New Roman"/>
          <w:b w:val="0"/>
          <w:sz w:val="28"/>
        </w:rPr>
        <w:t>согласованный с военным комиссаром муниципального образования;</w:t>
      </w:r>
    </w:p>
    <w:p w14:paraId="25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2) служебное делопроизводство (отдельное дело) по вопросам ведения в организации воинского учета граждан;</w:t>
      </w:r>
    </w:p>
    <w:p w14:paraId="26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3) другие документы в соответствии с требованиями органов власти (местного самоуправления) и руководителя организации;</w:t>
      </w:r>
    </w:p>
    <w:p w14:paraId="27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4) справочную информацию по воинскому учету, мобилизационной подготовке и мобилизации.</w:t>
      </w:r>
    </w:p>
    <w:p w14:paraId="28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Style w:val="Style_1_ch"/>
          <w:rFonts w:ascii="Times New Roman" w:hAnsi="Times New Roman"/>
          <w:b w:val="1"/>
          <w:sz w:val="28"/>
        </w:rPr>
        <w:t>Для поддержания сведений, касающихся воинского учета, в актуальном состоянии необходимо:</w:t>
      </w:r>
    </w:p>
    <w:p w14:paraId="29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 xml:space="preserve">1) Уведомлять военные комиссариаты и (или) органы местного самоуправления о приеме на работу и увольнении граждан, подлежащих воинскому учету. </w:t>
      </w:r>
    </w:p>
    <w:p w14:paraId="2A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 xml:space="preserve">2) Передавать в военные комиссариаты сведения о случаях выявления граждан, не состоящих на воинском учете, но обязанных на нем состоять в течение трех рабочих дней. </w:t>
      </w:r>
    </w:p>
    <w:p w14:paraId="2B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3) Вносить в учетные документы сведения об изменении семейного положения, образования, структурного подразделения организации, должности, места жительства или места пребывания (в том числе не подтвержденных регистрацией по месту жительства и (или) месту пребывания), состояния здоровья граждан, состоящих на воинском учете (пп. «е» п. 32 Положения о воинском учете). У</w:t>
      </w:r>
      <w:r>
        <w:rPr>
          <w:rStyle w:val="Style_1_ch"/>
          <w:rFonts w:ascii="Times New Roman" w:hAnsi="Times New Roman"/>
          <w:b w:val="0"/>
          <w:sz w:val="28"/>
        </w:rPr>
        <w:t>ведомлять военные комиссариаты об изменении указанных сведений.</w:t>
      </w:r>
    </w:p>
    <w:p w14:paraId="2C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Срок уведомления - в течение пяти дней со дня изменения сведений (абз. 4 п. 1 ст. 4 Закона о воинской обязанности, пп. "е" п. 32 Положения о воинском учете).</w:t>
      </w:r>
    </w:p>
    <w:p w14:paraId="2D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6) Сверять не реже одного раза в год сведения о воинском учете, содержащиеся в учетных документах, со сведениями в документах воинского учета граждан (пп. «г» п. 32 Положения о воинском учете);</w:t>
      </w:r>
    </w:p>
    <w:p w14:paraId="2E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7) Сверять не реже одного раза в год сведения о воинском учете, содержащиеся в учетных документах, со сведениями в документах воинского учета военных комиссариатов и (или) органов местного самоуправления;</w:t>
      </w:r>
    </w:p>
    <w:p w14:paraId="2F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8) Оповещать граждан о вызовах (повестках) военных комиссариатов или органов местного самоуправления, поступивших в письменной и (или) электронной форме, и обеспечивать их своевременную явку в места, указанные военными комиссариатами.</w:t>
      </w:r>
    </w:p>
    <w:p w14:paraId="30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31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br/>
      </w:r>
    </w:p>
    <w:p w14:paraId="32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br/>
      </w:r>
    </w:p>
    <w:p w14:paraId="33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br/>
      </w:r>
    </w:p>
    <w:p w14:paraId="34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35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36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sz w:val="28"/>
        </w:rPr>
      </w:pPr>
    </w:p>
    <w:p w14:paraId="37000000">
      <w:pPr>
        <w:pStyle w:val="Style_1"/>
        <w:widowControl w:val="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38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br/>
      </w:r>
    </w:p>
    <w:p w14:paraId="39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sectPr>
      <w:type w:val="continuous"/>
      <w:pgSz w:h="16840" w:orient="portrait" w:w="11910"/>
      <w:pgMar w:bottom="1134" w:footer="720" w:gutter="0" w:header="72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Strong"/>
    <w:basedOn w:val="Style_6"/>
    <w:link w:val="Style_5_ch"/>
    <w:rPr>
      <w:b w:val="1"/>
    </w:rPr>
  </w:style>
  <w:style w:styleId="Style_5_ch" w:type="character">
    <w:name w:val="Strong"/>
    <w:basedOn w:val="Style_6_ch"/>
    <w:link w:val="Style_5"/>
    <w:rPr>
      <w:b w:val="1"/>
    </w:rPr>
  </w:style>
  <w:style w:styleId="Style_7" w:type="paragraph">
    <w:name w:val="toc 7"/>
    <w:next w:val="Style_1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messagetext"/>
    <w:basedOn w:val="Style_6"/>
    <w:link w:val="Style_11_ch"/>
  </w:style>
  <w:style w:styleId="Style_11_ch" w:type="character">
    <w:name w:val="messagetext"/>
    <w:basedOn w:val="Style_6_ch"/>
    <w:link w:val="Style_11"/>
  </w:style>
  <w:style w:styleId="Style_12" w:type="paragraph">
    <w:name w:val="heading 5"/>
    <w:next w:val="Style_1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1"/>
    <w:link w:val="Style_13_ch"/>
    <w:uiPriority w:val="9"/>
    <w:qFormat/>
    <w:pPr>
      <w:widowControl w:val="0"/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3_ch" w:type="character">
    <w:name w:val="heading 1"/>
    <w:basedOn w:val="Style_1_ch"/>
    <w:link w:val="Style_13"/>
    <w:rPr>
      <w:rFonts w:ascii="Times New Roman" w:hAnsi="Times New Roman"/>
      <w:b w:val="1"/>
      <w:sz w:val="48"/>
    </w:rPr>
  </w:style>
  <w:style w:styleId="Style_14" w:type="paragraph">
    <w:name w:val="feeds-page__navigation_tooltip"/>
    <w:basedOn w:val="Style_6"/>
    <w:link w:val="Style_14_ch"/>
  </w:style>
  <w:style w:styleId="Style_14_ch" w:type="character">
    <w:name w:val="feeds-page__navigation_tooltip"/>
    <w:basedOn w:val="Style_6_ch"/>
    <w:link w:val="Style_14"/>
  </w:style>
  <w:style w:styleId="Style_15" w:type="paragraph">
    <w:name w:val="Hyperlink"/>
    <w:basedOn w:val="Style_6"/>
    <w:link w:val="Style_15_ch"/>
    <w:rPr>
      <w:color w:val="0000FF"/>
      <w:u w:val="single"/>
    </w:rPr>
  </w:style>
  <w:style w:styleId="Style_15_ch" w:type="character">
    <w:name w:val="Hyperlink"/>
    <w:basedOn w:val="Style_6_ch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1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1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Normal (Web)"/>
    <w:basedOn w:val="Style_1"/>
    <w:link w:val="Style_22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2_ch" w:type="character">
    <w:name w:val="Normal (Web)"/>
    <w:basedOn w:val="Style_1_ch"/>
    <w:link w:val="Style_22"/>
    <w:rPr>
      <w:rFonts w:ascii="Times New Roman" w:hAnsi="Times New Roman"/>
      <w:sz w:val="24"/>
    </w:rPr>
  </w:style>
  <w:style w:styleId="Style_23" w:type="paragraph">
    <w:name w:val="Subtitle"/>
    <w:next w:val="Style_1"/>
    <w:link w:val="Style_23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1"/>
    <w:link w:val="Style_2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List Paragraph"/>
    <w:basedOn w:val="Style_1"/>
    <w:link w:val="Style_25_ch"/>
    <w:pPr>
      <w:widowControl w:val="0"/>
      <w:ind w:firstLine="0" w:left="720"/>
      <w:contextualSpacing w:val="1"/>
    </w:pPr>
  </w:style>
  <w:style w:styleId="Style_25_ch" w:type="character">
    <w:name w:val="List Paragraph"/>
    <w:basedOn w:val="Style_1_ch"/>
    <w:link w:val="Style_25"/>
  </w:style>
  <w:style w:styleId="Style_26" w:type="paragraph">
    <w:name w:val="heading 4"/>
    <w:next w:val="Style_1"/>
    <w:link w:val="Style_26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27" w:type="paragraph">
    <w:name w:val="heading 2"/>
    <w:next w:val="Style_1"/>
    <w:link w:val="Style_27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2025-12-19T13:24:10Z</dcterms:created>
  <dcterms:modified xsi:type="dcterms:W3CDTF">2026-09-07T05:40:20Z</dcterms:modified>
</cp:coreProperties>
</file>