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0"/>
        <w:ind w:firstLine="0" w:left="0" w:right="0"/>
        <w:jc w:val="center"/>
        <w:rPr>
          <w:b w:val="1"/>
        </w:rPr>
      </w:pPr>
      <w:r>
        <w:rPr>
          <w:rFonts w:ascii="Times New Roman" w:hAnsi="Times New Roman"/>
          <w:b w:val="1"/>
          <w:sz w:val="28"/>
        </w:rPr>
        <w:t xml:space="preserve">Изменения в законодательства </w:t>
      </w:r>
      <w:r>
        <w:rPr>
          <w:rFonts w:ascii="Times New Roman" w:hAnsi="Times New Roman"/>
          <w:b w:val="1"/>
          <w:sz w:val="28"/>
        </w:rPr>
        <w:t xml:space="preserve">по организации и </w:t>
      </w:r>
    </w:p>
    <w:p w14:paraId="02000000">
      <w:pPr>
        <w:widowControl w:val="1"/>
        <w:spacing w:after="0" w:before="0"/>
        <w:ind w:firstLine="0" w:left="0" w:right="0"/>
        <w:jc w:val="center"/>
        <w:rPr>
          <w:b w:val="1"/>
        </w:rPr>
      </w:pPr>
      <w:r>
        <w:rPr>
          <w:rFonts w:ascii="Times New Roman" w:hAnsi="Times New Roman"/>
          <w:b w:val="1"/>
          <w:sz w:val="28"/>
        </w:rPr>
        <w:t>проведению азартных игр</w:t>
      </w:r>
    </w:p>
    <w:p w14:paraId="03000000">
      <w:pPr>
        <w:widowControl w:val="1"/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</w:p>
    <w:p w14:paraId="04000000">
      <w:pPr>
        <w:pStyle w:val="Style_1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Федеральным законом от 29.12.2025 № 575-ФЗ внесены изменения в </w:t>
      </w:r>
      <w:r>
        <w:rPr>
          <w:rFonts w:ascii="Times New Roman" w:hAnsi="Times New Roman"/>
          <w:b w:val="0"/>
          <w:sz w:val="28"/>
        </w:rPr>
        <w:t xml:space="preserve">Федеральный закон от 29.12.2006 № 244-ФЗ «О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Федерации». </w:t>
      </w:r>
      <w:r>
        <w:rPr>
          <w:rFonts w:ascii="Times New Roman" w:hAnsi="Times New Roman"/>
          <w:b w:val="0"/>
          <w:sz w:val="28"/>
        </w:rPr>
        <w:t xml:space="preserve">Введена статья 5.2, </w:t>
      </w:r>
      <w:r>
        <w:rPr>
          <w:rFonts w:ascii="Times New Roman" w:hAnsi="Times New Roman"/>
          <w:b w:val="0"/>
          <w:sz w:val="28"/>
        </w:rPr>
        <w:t>регулирующая отказ от участия в азартных играх</w:t>
      </w:r>
      <w:r>
        <w:rPr>
          <w:rStyle w:val="Style_1_ch"/>
          <w:rFonts w:ascii="Times New Roman" w:hAnsi="Times New Roman"/>
          <w:b w:val="0"/>
          <w:sz w:val="28"/>
        </w:rPr>
        <w:t>.</w:t>
      </w:r>
    </w:p>
    <w:p w14:paraId="05000000">
      <w:pPr>
        <w:pStyle w:val="Style_1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 xml:space="preserve">Так, </w:t>
      </w:r>
      <w:r>
        <w:rPr>
          <w:rStyle w:val="Style_1_ch"/>
          <w:rFonts w:ascii="Times New Roman" w:hAnsi="Times New Roman"/>
          <w:b w:val="0"/>
          <w:sz w:val="28"/>
        </w:rPr>
        <w:t>физическое лицо вправе отказаться от участия в азартных играх путем направления в единый регулятор азартных игр заявления о включении информации о физическом лице в перечень физических лиц, отказавшихся от участия в азартных играх.</w:t>
      </w:r>
    </w:p>
    <w:p w14:paraId="06000000">
      <w:pPr>
        <w:pStyle w:val="Style_1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Заявление о включении информации о физическом лице в перечень физических лиц, отказавшихся от участия в азартных играх, подается физическим лицом в единый регулятор азартных игр:</w:t>
      </w:r>
    </w:p>
    <w:p w14:paraId="07000000">
      <w:pPr>
        <w:pStyle w:val="Style_1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1) через многофункциональный центр предоставления государственных и муниципальных услуг независимо от места жительства или места пребывания физического лица при представлении физическим лицом п</w:t>
      </w:r>
      <w:r>
        <w:rPr>
          <w:rStyle w:val="Style_1_ch"/>
          <w:rFonts w:ascii="Times New Roman" w:hAnsi="Times New Roman"/>
          <w:b w:val="0"/>
          <w:sz w:val="28"/>
        </w:rPr>
        <w:t>аспорта или иного документа, удостоверяющего личность;</w:t>
      </w:r>
    </w:p>
    <w:p w14:paraId="08000000">
      <w:pPr>
        <w:pStyle w:val="Style_1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2) с использованием федеральной государственной информационной системы «Единый портал государственных и муниципальных услуг (функций)» в форме электронного документа</w:t>
      </w:r>
      <w:r>
        <w:rPr>
          <w:rStyle w:val="Style_1_ch"/>
          <w:rFonts w:ascii="Times New Roman" w:hAnsi="Times New Roman"/>
          <w:b w:val="0"/>
          <w:sz w:val="28"/>
        </w:rPr>
        <w:t>.</w:t>
      </w:r>
    </w:p>
    <w:p w14:paraId="09000000">
      <w:pPr>
        <w:pStyle w:val="Style_1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Отозвать заявление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нельзя</w:t>
      </w:r>
      <w:r>
        <w:rPr>
          <w:rStyle w:val="Style_1_ch"/>
          <w:rFonts w:ascii="Times New Roman" w:hAnsi="Times New Roman"/>
          <w:b w:val="0"/>
          <w:sz w:val="28"/>
        </w:rPr>
        <w:t>, исключить сведения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можно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не ранее чем через 12 месяцев (ч. 3 ст. 5.2).</w:t>
      </w:r>
    </w:p>
    <w:p w14:paraId="0A000000">
      <w:pPr>
        <w:pStyle w:val="Style_1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Организаторы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обязаны отказать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такому лицу в доступе в игорное заведение и к личному кабинету.</w:t>
      </w:r>
    </w:p>
    <w:p w14:paraId="0B000000">
      <w:pPr>
        <w:pStyle w:val="Style_1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Кроме того, организаторы должны утвердить положение об ответственной игре. В него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включается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разъяснение того, как отказаться от участия в азартных играх.</w:t>
      </w:r>
    </w:p>
    <w:p w14:paraId="0C000000">
      <w:pPr>
        <w:pStyle w:val="Style_1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Для организаторов а</w:t>
      </w:r>
      <w:r>
        <w:rPr>
          <w:rStyle w:val="Style_1_ch"/>
          <w:rFonts w:ascii="Times New Roman" w:hAnsi="Times New Roman"/>
          <w:b w:val="0"/>
          <w:sz w:val="28"/>
        </w:rPr>
        <w:t>зартных игр в букмекерских конторах и тотализаторах</w:t>
      </w:r>
      <w:r>
        <w:rPr>
          <w:rStyle w:val="Style_1_ch"/>
          <w:rFonts w:ascii="Times New Roman" w:hAnsi="Times New Roman"/>
          <w:b w:val="0"/>
          <w:sz w:val="28"/>
        </w:rPr>
        <w:t xml:space="preserve">, </w:t>
      </w:r>
      <w:r>
        <w:rPr>
          <w:rStyle w:val="Style_1_ch"/>
          <w:rFonts w:ascii="Times New Roman" w:hAnsi="Times New Roman"/>
          <w:b w:val="0"/>
          <w:sz w:val="28"/>
        </w:rPr>
        <w:t>азартных игр в казино и залах игровых автоматов также введена административная ответственность по ч. 6 и 7 ст. 14.1.1 КоАП РФ в виде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штрафа</w:t>
      </w:r>
      <w:r>
        <w:rPr>
          <w:rStyle w:val="Style_1_ch"/>
          <w:rFonts w:ascii="Times New Roman" w:hAnsi="Times New Roman"/>
          <w:b w:val="0"/>
          <w:sz w:val="28"/>
        </w:rPr>
        <w:t>: для должностных лиц - от 30 тыс. до 50 тыс. руб., для юридических лиц - от 300 тыс. до 500 тыс. руб.</w:t>
      </w:r>
    </w:p>
    <w:p w14:paraId="0D000000">
      <w:pPr>
        <w:pStyle w:val="Style_1"/>
        <w:widowControl w:val="1"/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E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br/>
      </w:r>
    </w:p>
    <w:p w14:paraId="0F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sectPr>
      <w:type w:val="continuous"/>
      <w:pgSz w:h="16840" w:orient="portrait" w:w="11910"/>
      <w:pgMar w:bottom="1134" w:footer="720" w:gutter="0" w:header="72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List Paragraph"/>
    <w:basedOn w:val="Style_1"/>
    <w:link w:val="Style_2_ch"/>
    <w:pPr>
      <w:widowControl w:val="0"/>
      <w:ind w:firstLine="0" w:left="720"/>
      <w:contextualSpacing w:val="1"/>
    </w:pPr>
  </w:style>
  <w:style w:styleId="Style_2_ch" w:type="character">
    <w:name w:val="List Paragraph"/>
    <w:basedOn w:val="Style_1_ch"/>
    <w:link w:val="Style_2"/>
  </w:style>
  <w:style w:styleId="Style_3" w:type="paragraph">
    <w:name w:val="Strong"/>
    <w:basedOn w:val="Style_4"/>
    <w:link w:val="Style_3_ch"/>
    <w:rPr>
      <w:b w:val="1"/>
    </w:rPr>
  </w:style>
  <w:style w:styleId="Style_3_ch" w:type="character">
    <w:name w:val="Strong"/>
    <w:basedOn w:val="Style_4_ch"/>
    <w:link w:val="Style_3"/>
    <w:rPr>
      <w:b w:val="1"/>
    </w:rPr>
  </w:style>
  <w:style w:styleId="Style_5" w:type="paragraph">
    <w:name w:val="toc 2"/>
    <w:next w:val="Style_1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messagetext"/>
    <w:basedOn w:val="Style_4"/>
    <w:link w:val="Style_6_ch"/>
  </w:style>
  <w:style w:styleId="Style_6_ch" w:type="character">
    <w:name w:val="messagetext"/>
    <w:basedOn w:val="Style_4_ch"/>
    <w:link w:val="Style_6"/>
  </w:style>
  <w:style w:styleId="Style_7" w:type="paragraph">
    <w:name w:val="Normal (Web)"/>
    <w:basedOn w:val="Style_1"/>
    <w:link w:val="Style_7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7_ch" w:type="character">
    <w:name w:val="Normal (Web)"/>
    <w:basedOn w:val="Style_1_ch"/>
    <w:link w:val="Style_7"/>
    <w:rPr>
      <w:rFonts w:ascii="Times New Roman" w:hAnsi="Times New Roman"/>
      <w:sz w:val="24"/>
    </w:rPr>
  </w:style>
  <w:style w:styleId="Style_8" w:type="paragraph">
    <w:name w:val="toc 4"/>
    <w:next w:val="Style_1"/>
    <w:link w:val="Style_8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1"/>
    <w:link w:val="Style_9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1"/>
    <w:link w:val="Style_10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1"/>
    <w:link w:val="Style_12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toc 3"/>
    <w:next w:val="Style_1"/>
    <w:link w:val="Style_13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1"/>
    <w:link w:val="Style_14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basedOn w:val="Style_1"/>
    <w:link w:val="Style_15_ch"/>
    <w:uiPriority w:val="9"/>
    <w:qFormat/>
    <w:pPr>
      <w:widowControl w:val="0"/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5_ch" w:type="character">
    <w:name w:val="heading 1"/>
    <w:basedOn w:val="Style_1_ch"/>
    <w:link w:val="Style_15"/>
    <w:rPr>
      <w:rFonts w:ascii="Times New Roman" w:hAnsi="Times New Roman"/>
      <w:b w:val="1"/>
      <w:sz w:val="48"/>
    </w:rPr>
  </w:style>
  <w:style w:styleId="Style_16" w:type="paragraph">
    <w:name w:val="Hyperlink"/>
    <w:basedOn w:val="Style_4"/>
    <w:link w:val="Style_16_ch"/>
    <w:rPr>
      <w:color w:val="0000FF"/>
      <w:u w:val="single"/>
    </w:rPr>
  </w:style>
  <w:style w:styleId="Style_16_ch" w:type="character">
    <w:name w:val="Hyperlink"/>
    <w:basedOn w:val="Style_4_ch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1"/>
    <w:link w:val="Style_18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feeds-page__navigation_tooltip"/>
    <w:basedOn w:val="Style_4"/>
    <w:link w:val="Style_20_ch"/>
  </w:style>
  <w:style w:styleId="Style_20_ch" w:type="character">
    <w:name w:val="feeds-page__navigation_tooltip"/>
    <w:basedOn w:val="Style_4_ch"/>
    <w:link w:val="Style_20"/>
  </w:style>
  <w:style w:styleId="Style_21" w:type="paragraph">
    <w:name w:val="toc 9"/>
    <w:next w:val="Style_1"/>
    <w:link w:val="Style_21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1"/>
    <w:link w:val="Style_22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1"/>
    <w:link w:val="Style_23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24" w:type="paragraph">
    <w:name w:val="Subtitle"/>
    <w:next w:val="Style_1"/>
    <w:link w:val="Style_24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1"/>
    <w:link w:val="Style_25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1"/>
    <w:link w:val="Style_26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1"/>
    <w:link w:val="Style_27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2025-12-19T13:24:10Z</dcterms:created>
  <dcterms:modified xsi:type="dcterms:W3CDTF">2026-09-01T11:58:19Z</dcterms:modified>
</cp:coreProperties>
</file>