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spacing w:after="0" w:before="0" w:line="240" w:lineRule="auto"/>
        <w:ind w:firstLine="0" w:left="0" w:right="0"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 xml:space="preserve">Изменения законодательства о потребительском </w:t>
      </w:r>
    </w:p>
    <w:p w14:paraId="02000000">
      <w:pPr>
        <w:spacing w:after="0" w:before="0" w:line="240" w:lineRule="auto"/>
        <w:ind w:firstLine="0" w:left="0" w:right="0"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кредите (кредитные каникулы)</w:t>
      </w:r>
    </w:p>
    <w:p w14:paraId="03000000">
      <w:pPr>
        <w:spacing w:after="0" w:before="0" w:line="240" w:lineRule="auto"/>
        <w:ind w:firstLine="540" w:left="0" w:right="0"/>
        <w:jc w:val="both"/>
        <w:rPr>
          <w:b w:val="0"/>
        </w:rPr>
      </w:pPr>
    </w:p>
    <w:p w14:paraId="04000000">
      <w:pPr>
        <w:spacing w:after="0" w:before="0" w:line="240" w:lineRule="auto"/>
        <w:ind w:firstLine="540" w:left="0" w:right="0"/>
        <w:jc w:val="both"/>
        <w:rPr>
          <w:rFonts w:ascii="Times New Roman" w:hAnsi="Times New Roman"/>
          <w:b w:val="0"/>
          <w:sz w:val="28"/>
        </w:rPr>
      </w:pPr>
    </w:p>
    <w:p w14:paraId="05000000">
      <w:pPr>
        <w:spacing w:after="0" w:before="0" w:line="240" w:lineRule="auto"/>
        <w:ind w:firstLine="540" w:left="0" w:right="0"/>
        <w:jc w:val="both"/>
        <w:rPr>
          <w:b w:val="0"/>
        </w:rPr>
      </w:pPr>
      <w:r>
        <w:rPr>
          <w:rFonts w:ascii="Times New Roman" w:hAnsi="Times New Roman"/>
          <w:b w:val="0"/>
          <w:sz w:val="28"/>
        </w:rPr>
        <w:t>Федеральным</w:t>
      </w:r>
      <w:r>
        <w:rPr>
          <w:rFonts w:ascii="Times New Roman" w:hAnsi="Times New Roman"/>
          <w:b w:val="0"/>
          <w:sz w:val="28"/>
        </w:rPr>
        <w:t xml:space="preserve"> </w:t>
      </w:r>
      <w:r>
        <w:rPr>
          <w:rFonts w:ascii="Times New Roman" w:hAnsi="Times New Roman"/>
          <w:b w:val="0"/>
          <w:sz w:val="28"/>
        </w:rPr>
        <w:t>законом</w:t>
      </w:r>
      <w:r>
        <w:rPr>
          <w:rFonts w:ascii="Times New Roman" w:hAnsi="Times New Roman"/>
          <w:b w:val="0"/>
          <w:sz w:val="28"/>
        </w:rPr>
        <w:t xml:space="preserve"> </w:t>
      </w:r>
      <w:r>
        <w:rPr>
          <w:rFonts w:ascii="Times New Roman" w:hAnsi="Times New Roman"/>
          <w:b w:val="0"/>
          <w:sz w:val="28"/>
        </w:rPr>
        <w:t>от 04.07.2026 N 229-ФЗ внесены изменения</w:t>
      </w:r>
      <w:r>
        <w:rPr>
          <w:rFonts w:ascii="Times New Roman" w:hAnsi="Times New Roman"/>
          <w:b w:val="0"/>
          <w:sz w:val="28"/>
        </w:rPr>
        <w:t xml:space="preserve"> в</w:t>
      </w:r>
      <w:r>
        <w:rPr>
          <w:rFonts w:ascii="Times New Roman" w:hAnsi="Times New Roman"/>
          <w:b w:val="0"/>
          <w:sz w:val="28"/>
        </w:rPr>
        <w:t xml:space="preserve"> </w:t>
      </w:r>
      <w:r>
        <w:rPr>
          <w:rFonts w:ascii="Times New Roman" w:hAnsi="Times New Roman"/>
          <w:b w:val="0"/>
          <w:sz w:val="28"/>
        </w:rPr>
        <w:t>статью 6.1-1</w:t>
      </w:r>
      <w:r>
        <w:rPr>
          <w:rFonts w:ascii="Times New Roman" w:hAnsi="Times New Roman"/>
          <w:b w:val="0"/>
          <w:sz w:val="28"/>
        </w:rPr>
        <w:t xml:space="preserve"> </w:t>
      </w:r>
      <w:r>
        <w:rPr>
          <w:rFonts w:ascii="Times New Roman" w:hAnsi="Times New Roman"/>
          <w:b w:val="0"/>
          <w:sz w:val="28"/>
        </w:rPr>
        <w:t>Федерального закона от 21 декабря 2013 года N 353-ФЗ «О потребительском кредите (займе)».</w:t>
      </w:r>
    </w:p>
    <w:p w14:paraId="06000000">
      <w:pPr>
        <w:spacing w:after="0" w:before="0" w:line="240" w:lineRule="auto"/>
        <w:ind w:firstLine="540" w:left="0" w:right="0"/>
        <w:jc w:val="both"/>
        <w:rPr>
          <w:b w:val="0"/>
          <w:color w:val="000000"/>
          <w:u w:val="none"/>
        </w:rPr>
      </w:pPr>
      <w:r>
        <w:rPr>
          <w:rFonts w:ascii="Times New Roman" w:hAnsi="Times New Roman"/>
          <w:b w:val="0"/>
          <w:sz w:val="28"/>
        </w:rPr>
        <w:t>Т</w:t>
      </w:r>
      <w:r>
        <w:rPr>
          <w:rFonts w:ascii="Times New Roman" w:hAnsi="Times New Roman"/>
          <w:b w:val="0"/>
          <w:color w:val="000000"/>
          <w:sz w:val="28"/>
          <w:u w:val="none"/>
        </w:rPr>
        <w:t>ак, п</w:t>
      </w:r>
      <w:r>
        <w:rPr>
          <w:rFonts w:ascii="Times New Roman" w:hAnsi="Times New Roman"/>
          <w:b w:val="0"/>
          <w:color w:val="000000"/>
          <w:sz w:val="28"/>
          <w:u w:val="none"/>
        </w:rPr>
        <w:t>ри рождении или усыновлении (удочерении) второго ребенка или последующих детей заемщик вправе обратиться к кредитору с требованием о предоставлении «кредитных каникул» по ипотечному договору.</w:t>
      </w:r>
    </w:p>
    <w:p w14:paraId="07000000">
      <w:pPr>
        <w:spacing w:after="0" w:before="0" w:line="240" w:lineRule="auto"/>
        <w:ind w:firstLine="540" w:left="0" w:right="0"/>
        <w:jc w:val="both"/>
        <w:rPr>
          <w:rFonts w:ascii="Times New Roman" w:hAnsi="Times New Roman"/>
          <w:b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strike w:val="0"/>
          <w:color w:val="000000"/>
          <w:sz w:val="28"/>
          <w:u w:color="000000" w:val="none"/>
        </w:rPr>
        <w:t>Длительность</w:t>
      </w:r>
      <w:r>
        <w:rPr>
          <w:rFonts w:ascii="Times New Roman" w:hAnsi="Times New Roman"/>
          <w:b w:val="0"/>
          <w:color w:val="000000"/>
          <w:sz w:val="28"/>
          <w:u w:val="none"/>
        </w:rPr>
        <w:t xml:space="preserve"> </w:t>
      </w:r>
      <w:r>
        <w:rPr>
          <w:rFonts w:ascii="Times New Roman" w:hAnsi="Times New Roman"/>
          <w:b w:val="0"/>
          <w:color w:val="000000"/>
          <w:sz w:val="28"/>
          <w:u w:val="none"/>
        </w:rPr>
        <w:t>льготного периода не может превышать 18 месяцев, при этом при рождении второго ребенка или последующих детей дата окончания льготного периода не должна быть позднее даты достижения вторым и (или) каждым последующим ребенком возраста 1,5 лет, а при усыновлении (удочерении) ребенка - позднее даты истечения 18 месяцев с даты усыновления (удочерения).</w:t>
      </w:r>
    </w:p>
    <w:p w14:paraId="08000000">
      <w:pPr>
        <w:spacing w:after="0" w:before="0" w:line="240" w:lineRule="auto"/>
        <w:ind w:firstLine="540" w:left="0" w:right="0"/>
        <w:jc w:val="both"/>
        <w:rPr>
          <w:rFonts w:ascii="Times New Roman" w:hAnsi="Times New Roman"/>
          <w:b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color w:val="000000"/>
          <w:sz w:val="28"/>
          <w:u w:val="none"/>
        </w:rPr>
        <w:t>Установлен также</w:t>
      </w:r>
      <w:r>
        <w:rPr>
          <w:rFonts w:ascii="Times New Roman" w:hAnsi="Times New Roman"/>
          <w:b w:val="0"/>
          <w:color w:val="000000"/>
          <w:sz w:val="28"/>
          <w:u w:val="none"/>
        </w:rPr>
        <w:t xml:space="preserve"> </w:t>
      </w:r>
      <w:r>
        <w:rPr>
          <w:rFonts w:ascii="Times New Roman" w:hAnsi="Times New Roman"/>
          <w:b w:val="0"/>
          <w:color w:val="000000"/>
          <w:sz w:val="28"/>
          <w:u w:val="none"/>
        </w:rPr>
        <w:t>порядок</w:t>
      </w:r>
      <w:r>
        <w:rPr>
          <w:rFonts w:ascii="Times New Roman" w:hAnsi="Times New Roman"/>
          <w:b w:val="0"/>
          <w:color w:val="000000"/>
          <w:sz w:val="28"/>
          <w:u w:val="none"/>
        </w:rPr>
        <w:t xml:space="preserve"> </w:t>
      </w:r>
      <w:r>
        <w:rPr>
          <w:rFonts w:ascii="Times New Roman" w:hAnsi="Times New Roman"/>
          <w:b w:val="0"/>
          <w:color w:val="000000"/>
          <w:sz w:val="28"/>
          <w:u w:val="none"/>
        </w:rPr>
        <w:t>начисления процентов в период действия «кредитных каникул».</w:t>
      </w:r>
    </w:p>
    <w:p w14:paraId="09000000">
      <w:pPr>
        <w:spacing w:after="0" w:before="0" w:line="240" w:lineRule="auto"/>
        <w:ind w:firstLine="540" w:left="0" w:right="0"/>
        <w:jc w:val="both"/>
        <w:rPr>
          <w:rFonts w:ascii="Times New Roman" w:hAnsi="Times New Roman"/>
          <w:b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color w:val="000000"/>
          <w:sz w:val="28"/>
          <w:u w:val="none"/>
        </w:rPr>
        <w:t>Кроме того, заемщик</w:t>
      </w:r>
      <w:r>
        <w:rPr>
          <w:rFonts w:ascii="Times New Roman" w:hAnsi="Times New Roman"/>
          <w:b w:val="0"/>
          <w:color w:val="000000"/>
          <w:sz w:val="28"/>
          <w:u w:val="none"/>
        </w:rPr>
        <w:t xml:space="preserve"> </w:t>
      </w:r>
      <w:r>
        <w:rPr>
          <w:rFonts w:ascii="Times New Roman" w:hAnsi="Times New Roman"/>
          <w:b w:val="0"/>
          <w:strike w:val="0"/>
          <w:color w:val="000000"/>
          <w:sz w:val="28"/>
          <w:u w:color="000000" w:val="none"/>
        </w:rPr>
        <w:t>вправе</w:t>
      </w:r>
      <w:r>
        <w:rPr>
          <w:rFonts w:ascii="Times New Roman" w:hAnsi="Times New Roman"/>
          <w:b w:val="0"/>
          <w:color w:val="000000"/>
          <w:sz w:val="28"/>
          <w:u w:val="none"/>
        </w:rPr>
        <w:t xml:space="preserve"> </w:t>
      </w:r>
      <w:r>
        <w:rPr>
          <w:rFonts w:ascii="Times New Roman" w:hAnsi="Times New Roman"/>
          <w:b w:val="0"/>
          <w:color w:val="000000"/>
          <w:sz w:val="28"/>
          <w:u w:val="none"/>
        </w:rPr>
        <w:t>в любой момент времени в течение льготного периода, установленного</w:t>
      </w:r>
      <w:r>
        <w:rPr>
          <w:rFonts w:ascii="Times New Roman" w:hAnsi="Times New Roman"/>
          <w:b w:val="0"/>
          <w:color w:val="000000"/>
          <w:sz w:val="28"/>
          <w:u w:val="none"/>
        </w:rPr>
        <w:t xml:space="preserve"> </w:t>
      </w:r>
      <w:r>
        <w:rPr>
          <w:rFonts w:ascii="Times New Roman" w:hAnsi="Times New Roman"/>
          <w:b w:val="0"/>
          <w:strike w:val="0"/>
          <w:color w:val="000000"/>
          <w:sz w:val="28"/>
          <w:u w:color="000000" w:val="none"/>
        </w:rPr>
        <w:t>статьей 6.1-1</w:t>
      </w:r>
      <w:r>
        <w:rPr>
          <w:rFonts w:ascii="Times New Roman" w:hAnsi="Times New Roman"/>
          <w:b w:val="0"/>
          <w:color w:val="000000"/>
          <w:sz w:val="28"/>
          <w:u w:val="none"/>
        </w:rPr>
        <w:t xml:space="preserve"> </w:t>
      </w:r>
      <w:r>
        <w:rPr>
          <w:rFonts w:ascii="Times New Roman" w:hAnsi="Times New Roman"/>
          <w:b w:val="0"/>
          <w:color w:val="000000"/>
          <w:sz w:val="28"/>
          <w:u w:val="none"/>
        </w:rPr>
        <w:t>Закона о потребительском кредите (займе), прекратить его действие, уведомив об этом кредитора способом, предусмотренным договором, или путем направления уведомления по почте заказным письмом с уведомлением о вручении либо путем вручения уведомления под расписку.</w:t>
      </w:r>
    </w:p>
    <w:p w14:paraId="0A000000">
      <w:pPr>
        <w:spacing w:after="0" w:before="0" w:line="240" w:lineRule="auto"/>
        <w:ind w:firstLine="540" w:left="0" w:right="0"/>
        <w:jc w:val="both"/>
        <w:rPr>
          <w:rFonts w:ascii="Times New Roman" w:hAnsi="Times New Roman"/>
          <w:b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color w:val="000000"/>
          <w:sz w:val="28"/>
          <w:u w:val="none"/>
        </w:rPr>
        <w:t>Льготный период считается прекращенным со дня получения такого уведомления, при этом кредитор обязан направить заемщику уточненный график платежей по кредитному договору (договору займа) не позднее 5 рабочих дней после дня получения уведомления.</w:t>
      </w:r>
    </w:p>
    <w:p w14:paraId="0B000000">
      <w:pPr>
        <w:spacing w:after="0" w:before="0" w:line="240" w:lineRule="auto"/>
        <w:ind w:firstLine="540" w:left="0" w:right="0"/>
        <w:jc w:val="both"/>
        <w:rPr>
          <w:rFonts w:ascii="Times New Roman" w:hAnsi="Times New Roman"/>
          <w:b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color w:val="000000"/>
          <w:sz w:val="28"/>
          <w:u w:val="none"/>
        </w:rPr>
        <w:t>Важно отметить, что указанные положения</w:t>
      </w:r>
      <w:r>
        <w:rPr>
          <w:rFonts w:ascii="Times New Roman" w:hAnsi="Times New Roman"/>
          <w:b w:val="0"/>
          <w:color w:val="000000"/>
          <w:sz w:val="28"/>
          <w:u w:val="none"/>
        </w:rPr>
        <w:t xml:space="preserve"> </w:t>
      </w:r>
      <w:r>
        <w:rPr>
          <w:rFonts w:ascii="Times New Roman" w:hAnsi="Times New Roman"/>
          <w:b w:val="0"/>
          <w:strike w:val="0"/>
          <w:color w:val="000000"/>
          <w:sz w:val="28"/>
          <w:u w:color="000000" w:val="none"/>
        </w:rPr>
        <w:t>распространяются</w:t>
      </w:r>
      <w:r>
        <w:rPr>
          <w:rFonts w:ascii="Times New Roman" w:hAnsi="Times New Roman"/>
          <w:b w:val="0"/>
          <w:color w:val="000000"/>
          <w:sz w:val="28"/>
          <w:u w:val="none"/>
        </w:rPr>
        <w:t xml:space="preserve"> </w:t>
      </w:r>
      <w:r>
        <w:rPr>
          <w:rFonts w:ascii="Times New Roman" w:hAnsi="Times New Roman"/>
          <w:b w:val="0"/>
          <w:color w:val="000000"/>
          <w:sz w:val="28"/>
          <w:u w:val="none"/>
        </w:rPr>
        <w:t>на правоотношения, возникшие из договоров кредита (займа), заключенных до 1 сентября 2026 года.</w:t>
      </w:r>
    </w:p>
    <w:p w14:paraId="0C000000">
      <w:pPr>
        <w:spacing w:after="0" w:before="0" w:line="240" w:lineRule="auto"/>
        <w:ind w:firstLine="540" w:left="0" w:right="0"/>
        <w:jc w:val="both"/>
        <w:rPr>
          <w:rFonts w:ascii="Times New Roman" w:hAnsi="Times New Roman"/>
          <w:b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color w:val="000000"/>
          <w:sz w:val="28"/>
          <w:u w:val="none"/>
        </w:rPr>
        <w:t>Изменения вступили в силу с 1 сентября 2026 года.</w:t>
      </w:r>
    </w:p>
    <w:p w14:paraId="0D000000">
      <w:pPr>
        <w:spacing w:after="0" w:before="0" w:line="240" w:lineRule="auto"/>
        <w:ind w:firstLine="540" w:left="0" w:right="0"/>
        <w:jc w:val="both"/>
        <w:rPr>
          <w:rFonts w:ascii="Times New Roman" w:hAnsi="Times New Roman"/>
          <w:b w:val="0"/>
          <w:color w:val="000000"/>
          <w:sz w:val="28"/>
          <w:u w:val="none"/>
        </w:rPr>
      </w:pPr>
    </w:p>
    <w:p w14:paraId="0E000000">
      <w:pPr>
        <w:spacing w:after="0" w:before="0" w:line="240" w:lineRule="auto"/>
        <w:ind w:firstLine="540" w:left="0" w:right="0"/>
        <w:jc w:val="both"/>
        <w:rPr>
          <w:rFonts w:ascii="Times New Roman" w:hAnsi="Times New Roman"/>
          <w:b w:val="0"/>
          <w:sz w:val="28"/>
        </w:rPr>
      </w:pPr>
    </w:p>
    <w:p w14:paraId="0F000000">
      <w:pPr>
        <w:widowControl w:val="1"/>
        <w:spacing w:after="0" w:before="0"/>
        <w:ind w:firstLine="540" w:left="0" w:right="0"/>
        <w:jc w:val="both"/>
        <w:rPr>
          <w:b w:val="0"/>
        </w:rPr>
      </w:pPr>
      <w:r>
        <w:br/>
      </w:r>
    </w:p>
    <w:p w14:paraId="10000000">
      <w:pPr>
        <w:pStyle w:val="Style_1"/>
        <w:widowControl w:val="1"/>
        <w:spacing w:after="0" w:before="0"/>
        <w:ind w:firstLine="709" w:left="0" w:right="0"/>
        <w:jc w:val="both"/>
        <w:rPr>
          <w:b w:val="0"/>
        </w:rPr>
      </w:pPr>
      <w:r>
        <w:br/>
      </w:r>
    </w:p>
    <w:p w14:paraId="11000000">
      <w:pPr>
        <w:widowControl w:val="1"/>
        <w:spacing w:after="0" w:before="0"/>
        <w:ind w:firstLine="709" w:left="0" w:right="0"/>
        <w:jc w:val="both"/>
      </w:pPr>
    </w:p>
    <w:p w14:paraId="12000000">
      <w:pPr>
        <w:widowControl w:val="1"/>
        <w:spacing w:after="0" w:before="0"/>
        <w:ind w:firstLine="709" w:left="0" w:right="0"/>
        <w:jc w:val="both"/>
        <w:rPr>
          <w:rFonts w:ascii="Times New Roman" w:hAnsi="Times New Roman"/>
          <w:b w:val="0"/>
          <w:sz w:val="28"/>
        </w:rPr>
      </w:pPr>
    </w:p>
    <w:p w14:paraId="13000000">
      <w:pPr>
        <w:pStyle w:val="Style_1"/>
        <w:widowControl w:val="0"/>
        <w:spacing w:after="0" w:before="0" w:line="240" w:lineRule="auto"/>
        <w:ind w:firstLine="709" w:left="0" w:right="0"/>
        <w:jc w:val="both"/>
        <w:rPr>
          <w:rFonts w:ascii="Times New Roman" w:hAnsi="Times New Roman"/>
          <w:b w:val="0"/>
          <w:sz w:val="28"/>
        </w:rPr>
      </w:pPr>
    </w:p>
    <w:sectPr>
      <w:type w:val="continuous"/>
      <w:pgSz w:h="16840" w:orient="portrait" w:w="11910"/>
      <w:pgMar w:bottom="1134" w:footer="720" w:gutter="0" w:header="720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0"/>
        <w:spacing w:after="160" w:before="0" w:line="264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</w:style>
  <w:style w:default="1" w:styleId="Style_1_ch" w:type="character">
    <w:name w:val="Normal"/>
    <w:link w:val="Style_1"/>
  </w:style>
  <w:style w:styleId="Style_2" w:type="paragraph">
    <w:name w:val="Strong"/>
    <w:basedOn w:val="Style_3"/>
    <w:link w:val="Style_2_ch"/>
    <w:rPr>
      <w:b w:val="1"/>
    </w:rPr>
  </w:style>
  <w:style w:styleId="Style_2_ch" w:type="character">
    <w:name w:val="Strong"/>
    <w:basedOn w:val="Style_3_ch"/>
    <w:link w:val="Style_2"/>
    <w:rPr>
      <w:b w:val="1"/>
    </w:rPr>
  </w:style>
  <w:style w:styleId="Style_4" w:type="paragraph">
    <w:name w:val="toc 2"/>
    <w:next w:val="Style_1"/>
    <w:link w:val="Style_4_ch"/>
    <w:uiPriority w:val="39"/>
    <w:pPr>
      <w:widowControl w:val="0"/>
      <w:ind w:firstLine="0" w:left="200"/>
      <w:jc w:val="left"/>
    </w:pPr>
    <w:rPr>
      <w:rFonts w:ascii="XO Thames" w:hAnsi="XO Thames"/>
      <w:sz w:val="28"/>
    </w:rPr>
  </w:style>
  <w:style w:styleId="Style_4_ch" w:type="character">
    <w:name w:val="toc 2"/>
    <w:link w:val="Style_4"/>
    <w:rPr>
      <w:rFonts w:ascii="XO Thames" w:hAnsi="XO Thames"/>
      <w:sz w:val="28"/>
    </w:rPr>
  </w:style>
  <w:style w:styleId="Style_5" w:type="paragraph">
    <w:name w:val="toc 4"/>
    <w:next w:val="Style_1"/>
    <w:link w:val="Style_5_ch"/>
    <w:uiPriority w:val="39"/>
    <w:pPr>
      <w:widowControl w:val="0"/>
      <w:ind w:firstLine="0" w:left="600"/>
      <w:jc w:val="left"/>
    </w:pPr>
    <w:rPr>
      <w:rFonts w:ascii="XO Thames" w:hAnsi="XO Thames"/>
      <w:sz w:val="28"/>
    </w:rPr>
  </w:style>
  <w:style w:styleId="Style_5_ch" w:type="character">
    <w:name w:val="toc 4"/>
    <w:link w:val="Style_5"/>
    <w:rPr>
      <w:rFonts w:ascii="XO Thames" w:hAnsi="XO Thames"/>
      <w:sz w:val="28"/>
    </w:rPr>
  </w:style>
  <w:style w:styleId="Style_6" w:type="paragraph">
    <w:name w:val="toc 6"/>
    <w:next w:val="Style_1"/>
    <w:link w:val="Style_6_ch"/>
    <w:uiPriority w:val="39"/>
    <w:pPr>
      <w:widowControl w:val="0"/>
      <w:ind w:firstLine="0" w:left="1000"/>
      <w:jc w:val="left"/>
    </w:pPr>
    <w:rPr>
      <w:rFonts w:ascii="XO Thames" w:hAnsi="XO Thames"/>
      <w:sz w:val="28"/>
    </w:rPr>
  </w:style>
  <w:style w:styleId="Style_6_ch" w:type="character">
    <w:name w:val="toc 6"/>
    <w:link w:val="Style_6"/>
    <w:rPr>
      <w:rFonts w:ascii="XO Thames" w:hAnsi="XO Thames"/>
      <w:sz w:val="28"/>
    </w:rPr>
  </w:style>
  <w:style w:styleId="Style_7" w:type="paragraph">
    <w:name w:val="toc 7"/>
    <w:next w:val="Style_1"/>
    <w:link w:val="Style_7_ch"/>
    <w:uiPriority w:val="39"/>
    <w:pPr>
      <w:widowControl w:val="0"/>
      <w:ind w:firstLine="0" w:left="1200"/>
      <w:jc w:val="left"/>
    </w:pPr>
    <w:rPr>
      <w:rFonts w:ascii="XO Thames" w:hAnsi="XO Thames"/>
      <w:sz w:val="28"/>
    </w:rPr>
  </w:style>
  <w:style w:styleId="Style_7_ch" w:type="character">
    <w:name w:val="toc 7"/>
    <w:link w:val="Style_7"/>
    <w:rPr>
      <w:rFonts w:ascii="XO Thames" w:hAnsi="XO Thames"/>
      <w:sz w:val="28"/>
    </w:rPr>
  </w:style>
  <w:style w:styleId="Style_8" w:type="paragraph">
    <w:name w:val="Endnote"/>
    <w:link w:val="Style_8_ch"/>
    <w:pPr>
      <w:widowControl w:val="0"/>
      <w:ind w:firstLine="851" w:left="0"/>
      <w:jc w:val="both"/>
    </w:pPr>
    <w:rPr>
      <w:rFonts w:ascii="XO Thames" w:hAnsi="XO Thames"/>
      <w:sz w:val="22"/>
    </w:rPr>
  </w:style>
  <w:style w:styleId="Style_8_ch" w:type="character">
    <w:name w:val="Endnote"/>
    <w:link w:val="Style_8"/>
    <w:rPr>
      <w:rFonts w:ascii="XO Thames" w:hAnsi="XO Thames"/>
      <w:sz w:val="22"/>
    </w:rPr>
  </w:style>
  <w:style w:styleId="Style_9" w:type="paragraph">
    <w:name w:val="heading 3"/>
    <w:next w:val="Style_1"/>
    <w:link w:val="Style_9_ch"/>
    <w:uiPriority w:val="9"/>
    <w:qFormat/>
    <w:pPr>
      <w:widowControl w:val="0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9_ch" w:type="character">
    <w:name w:val="heading 3"/>
    <w:link w:val="Style_9"/>
    <w:rPr>
      <w:rFonts w:ascii="XO Thames" w:hAnsi="XO Thames"/>
      <w:b w:val="1"/>
      <w:sz w:val="26"/>
    </w:rPr>
  </w:style>
  <w:style w:styleId="Style_10" w:type="paragraph">
    <w:name w:val="toc 3"/>
    <w:next w:val="Style_1"/>
    <w:link w:val="Style_10_ch"/>
    <w:uiPriority w:val="39"/>
    <w:pPr>
      <w:widowControl w:val="0"/>
      <w:ind w:firstLine="0" w:left="400"/>
      <w:jc w:val="left"/>
    </w:pPr>
    <w:rPr>
      <w:rFonts w:ascii="XO Thames" w:hAnsi="XO Thames"/>
      <w:sz w:val="28"/>
    </w:rPr>
  </w:style>
  <w:style w:styleId="Style_10_ch" w:type="character">
    <w:name w:val="toc 3"/>
    <w:link w:val="Style_10"/>
    <w:rPr>
      <w:rFonts w:ascii="XO Thames" w:hAnsi="XO Thames"/>
      <w:sz w:val="28"/>
    </w:rPr>
  </w:style>
  <w:style w:styleId="Style_11" w:type="paragraph">
    <w:name w:val="feeds-page__navigation_tooltip"/>
    <w:basedOn w:val="Style_3"/>
    <w:link w:val="Style_11_ch"/>
  </w:style>
  <w:style w:styleId="Style_11_ch" w:type="character">
    <w:name w:val="feeds-page__navigation_tooltip"/>
    <w:basedOn w:val="Style_3_ch"/>
    <w:link w:val="Style_11"/>
  </w:style>
  <w:style w:styleId="Style_12" w:type="paragraph">
    <w:name w:val="Normal (Web)"/>
    <w:basedOn w:val="Style_1"/>
    <w:link w:val="Style_12_ch"/>
    <w:pPr>
      <w:widowControl w:val="0"/>
      <w:spacing w:afterAutospacing="on" w:beforeAutospacing="on" w:line="240" w:lineRule="auto"/>
      <w:ind/>
    </w:pPr>
    <w:rPr>
      <w:rFonts w:ascii="Times New Roman" w:hAnsi="Times New Roman"/>
      <w:sz w:val="24"/>
    </w:rPr>
  </w:style>
  <w:style w:styleId="Style_12_ch" w:type="character">
    <w:name w:val="Normal (Web)"/>
    <w:basedOn w:val="Style_1_ch"/>
    <w:link w:val="Style_12"/>
    <w:rPr>
      <w:rFonts w:ascii="Times New Roman" w:hAnsi="Times New Roman"/>
      <w:sz w:val="24"/>
    </w:rPr>
  </w:style>
  <w:style w:styleId="Style_13" w:type="paragraph">
    <w:name w:val="heading 5"/>
    <w:next w:val="Style_1"/>
    <w:link w:val="Style_13_ch"/>
    <w:uiPriority w:val="9"/>
    <w:qFormat/>
    <w:pPr>
      <w:widowControl w:val="0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3_ch" w:type="character">
    <w:name w:val="heading 5"/>
    <w:link w:val="Style_13"/>
    <w:rPr>
      <w:rFonts w:ascii="XO Thames" w:hAnsi="XO Thames"/>
      <w:b w:val="1"/>
      <w:sz w:val="22"/>
    </w:rPr>
  </w:style>
  <w:style w:styleId="Style_14" w:type="paragraph">
    <w:name w:val="heading 1"/>
    <w:basedOn w:val="Style_1"/>
    <w:link w:val="Style_14_ch"/>
    <w:uiPriority w:val="9"/>
    <w:qFormat/>
    <w:pPr>
      <w:widowControl w:val="0"/>
      <w:spacing w:afterAutospacing="on" w:beforeAutospacing="on" w:line="240" w:lineRule="auto"/>
      <w:ind/>
      <w:outlineLvl w:val="0"/>
    </w:pPr>
    <w:rPr>
      <w:rFonts w:ascii="Times New Roman" w:hAnsi="Times New Roman"/>
      <w:b w:val="1"/>
      <w:sz w:val="48"/>
    </w:rPr>
  </w:style>
  <w:style w:styleId="Style_14_ch" w:type="character">
    <w:name w:val="heading 1"/>
    <w:basedOn w:val="Style_1_ch"/>
    <w:link w:val="Style_14"/>
    <w:rPr>
      <w:rFonts w:ascii="Times New Roman" w:hAnsi="Times New Roman"/>
      <w:b w:val="1"/>
      <w:sz w:val="48"/>
    </w:rPr>
  </w:style>
  <w:style w:styleId="Style_15" w:type="paragraph">
    <w:name w:val="Hyperlink"/>
    <w:basedOn w:val="Style_3"/>
    <w:link w:val="Style_15_ch"/>
    <w:rPr>
      <w:color w:val="0000FF"/>
      <w:u w:val="single"/>
    </w:rPr>
  </w:style>
  <w:style w:styleId="Style_15_ch" w:type="character">
    <w:name w:val="Hyperlink"/>
    <w:basedOn w:val="Style_3_ch"/>
    <w:link w:val="Style_15"/>
    <w:rPr>
      <w:color w:val="0000FF"/>
      <w:u w:val="single"/>
    </w:rPr>
  </w:style>
  <w:style w:styleId="Style_16" w:type="paragraph">
    <w:name w:val="Footnote"/>
    <w:link w:val="Style_16_ch"/>
    <w:pPr>
      <w:widowControl w:val="0"/>
      <w:ind w:firstLine="851" w:left="0"/>
      <w:jc w:val="both"/>
    </w:pPr>
    <w:rPr>
      <w:rFonts w:ascii="XO Thames" w:hAnsi="XO Thames"/>
      <w:sz w:val="22"/>
    </w:rPr>
  </w:style>
  <w:style w:styleId="Style_16_ch" w:type="character">
    <w:name w:val="Footnote"/>
    <w:link w:val="Style_16"/>
    <w:rPr>
      <w:rFonts w:ascii="XO Thames" w:hAnsi="XO Thames"/>
      <w:sz w:val="22"/>
    </w:rPr>
  </w:style>
  <w:style w:styleId="Style_17" w:type="paragraph">
    <w:name w:val="toc 1"/>
    <w:next w:val="Style_1"/>
    <w:link w:val="Style_17_ch"/>
    <w:uiPriority w:val="39"/>
    <w:pPr>
      <w:widowControl w:val="0"/>
      <w:ind w:firstLine="0" w:left="0"/>
      <w:jc w:val="left"/>
    </w:pPr>
    <w:rPr>
      <w:rFonts w:ascii="XO Thames" w:hAnsi="XO Thames"/>
      <w:b w:val="1"/>
      <w:sz w:val="28"/>
    </w:rPr>
  </w:style>
  <w:style w:styleId="Style_17_ch" w:type="character">
    <w:name w:val="toc 1"/>
    <w:link w:val="Style_17"/>
    <w:rPr>
      <w:rFonts w:ascii="XO Thames" w:hAnsi="XO Thames"/>
      <w:b w:val="1"/>
      <w:sz w:val="28"/>
    </w:rPr>
  </w:style>
  <w:style w:styleId="Style_18" w:type="paragraph">
    <w:name w:val="Header and Footer"/>
    <w:link w:val="Style_18_ch"/>
    <w:pPr>
      <w:widowControl w:val="0"/>
      <w:spacing w:line="240" w:lineRule="auto"/>
      <w:ind/>
      <w:jc w:val="both"/>
    </w:pPr>
    <w:rPr>
      <w:rFonts w:ascii="XO Thames" w:hAnsi="XO Thames"/>
      <w:sz w:val="28"/>
    </w:rPr>
  </w:style>
  <w:style w:styleId="Style_18_ch" w:type="character">
    <w:name w:val="Header and Footer"/>
    <w:link w:val="Style_18"/>
    <w:rPr>
      <w:rFonts w:ascii="XO Thames" w:hAnsi="XO Thames"/>
      <w:sz w:val="28"/>
    </w:rPr>
  </w:style>
  <w:style w:styleId="Style_19" w:type="paragraph">
    <w:name w:val="toc 9"/>
    <w:next w:val="Style_1"/>
    <w:link w:val="Style_19_ch"/>
    <w:uiPriority w:val="39"/>
    <w:pPr>
      <w:widowControl w:val="0"/>
      <w:ind w:firstLine="0" w:left="1600"/>
      <w:jc w:val="left"/>
    </w:pPr>
    <w:rPr>
      <w:rFonts w:ascii="XO Thames" w:hAnsi="XO Thames"/>
      <w:sz w:val="28"/>
    </w:rPr>
  </w:style>
  <w:style w:styleId="Style_19_ch" w:type="character">
    <w:name w:val="toc 9"/>
    <w:link w:val="Style_19"/>
    <w:rPr>
      <w:rFonts w:ascii="XO Thames" w:hAnsi="XO Thames"/>
      <w:sz w:val="28"/>
    </w:rPr>
  </w:style>
  <w:style w:styleId="Style_3" w:type="paragraph">
    <w:name w:val="Default Paragraph Font"/>
    <w:link w:val="Style_3_ch"/>
  </w:style>
  <w:style w:styleId="Style_3_ch" w:type="character">
    <w:name w:val="Default Paragraph Font"/>
    <w:link w:val="Style_3"/>
  </w:style>
  <w:style w:styleId="Style_20" w:type="paragraph">
    <w:name w:val="toc 8"/>
    <w:next w:val="Style_1"/>
    <w:link w:val="Style_20_ch"/>
    <w:uiPriority w:val="39"/>
    <w:pPr>
      <w:widowControl w:val="0"/>
      <w:ind w:firstLine="0" w:left="1400"/>
      <w:jc w:val="left"/>
    </w:pPr>
    <w:rPr>
      <w:rFonts w:ascii="XO Thames" w:hAnsi="XO Thames"/>
      <w:sz w:val="28"/>
    </w:rPr>
  </w:style>
  <w:style w:styleId="Style_20_ch" w:type="character">
    <w:name w:val="toc 8"/>
    <w:link w:val="Style_20"/>
    <w:rPr>
      <w:rFonts w:ascii="XO Thames" w:hAnsi="XO Thames"/>
      <w:sz w:val="28"/>
    </w:rPr>
  </w:style>
  <w:style w:styleId="Style_21" w:type="paragraph">
    <w:name w:val="toc 5"/>
    <w:next w:val="Style_1"/>
    <w:link w:val="Style_21_ch"/>
    <w:uiPriority w:val="39"/>
    <w:pPr>
      <w:widowControl w:val="0"/>
      <w:ind w:firstLine="0" w:left="800"/>
      <w:jc w:val="left"/>
    </w:pPr>
    <w:rPr>
      <w:rFonts w:ascii="XO Thames" w:hAnsi="XO Thames"/>
      <w:sz w:val="28"/>
    </w:rPr>
  </w:style>
  <w:style w:styleId="Style_21_ch" w:type="character">
    <w:name w:val="toc 5"/>
    <w:link w:val="Style_21"/>
    <w:rPr>
      <w:rFonts w:ascii="XO Thames" w:hAnsi="XO Thames"/>
      <w:sz w:val="28"/>
    </w:rPr>
  </w:style>
  <w:style w:styleId="Style_22" w:type="paragraph">
    <w:name w:val="Subtitle"/>
    <w:next w:val="Style_1"/>
    <w:link w:val="Style_22_ch"/>
    <w:uiPriority w:val="11"/>
    <w:qFormat/>
    <w:pPr>
      <w:widowControl w:val="0"/>
      <w:ind/>
      <w:jc w:val="both"/>
    </w:pPr>
    <w:rPr>
      <w:rFonts w:ascii="XO Thames" w:hAnsi="XO Thames"/>
      <w:i w:val="1"/>
      <w:sz w:val="24"/>
    </w:rPr>
  </w:style>
  <w:style w:styleId="Style_22_ch" w:type="character">
    <w:name w:val="Subtitle"/>
    <w:link w:val="Style_22"/>
    <w:rPr>
      <w:rFonts w:ascii="XO Thames" w:hAnsi="XO Thames"/>
      <w:i w:val="1"/>
      <w:sz w:val="24"/>
    </w:rPr>
  </w:style>
  <w:style w:styleId="Style_23" w:type="paragraph">
    <w:name w:val="Title"/>
    <w:next w:val="Style_1"/>
    <w:link w:val="Style_23_ch"/>
    <w:uiPriority w:val="10"/>
    <w:qFormat/>
    <w:pPr>
      <w:widowControl w:val="0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3_ch" w:type="character">
    <w:name w:val="Title"/>
    <w:link w:val="Style_23"/>
    <w:rPr>
      <w:rFonts w:ascii="XO Thames" w:hAnsi="XO Thames"/>
      <w:b w:val="1"/>
      <w:caps w:val="1"/>
      <w:sz w:val="40"/>
    </w:rPr>
  </w:style>
  <w:style w:styleId="Style_24" w:type="paragraph">
    <w:name w:val="heading 4"/>
    <w:next w:val="Style_1"/>
    <w:link w:val="Style_24_ch"/>
    <w:uiPriority w:val="9"/>
    <w:qFormat/>
    <w:pPr>
      <w:widowControl w:val="0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4_ch" w:type="character">
    <w:name w:val="heading 4"/>
    <w:link w:val="Style_24"/>
    <w:rPr>
      <w:rFonts w:ascii="XO Thames" w:hAnsi="XO Thames"/>
      <w:b w:val="1"/>
      <w:sz w:val="24"/>
    </w:rPr>
  </w:style>
  <w:style w:styleId="Style_25" w:type="paragraph">
    <w:name w:val="messagetext"/>
    <w:basedOn w:val="Style_3"/>
    <w:link w:val="Style_25_ch"/>
  </w:style>
  <w:style w:styleId="Style_25_ch" w:type="character">
    <w:name w:val="messagetext"/>
    <w:basedOn w:val="Style_3_ch"/>
    <w:link w:val="Style_25"/>
  </w:style>
  <w:style w:styleId="Style_26" w:type="paragraph">
    <w:name w:val="heading 2"/>
    <w:next w:val="Style_1"/>
    <w:link w:val="Style_26_ch"/>
    <w:uiPriority w:val="9"/>
    <w:qFormat/>
    <w:pPr>
      <w:widowControl w:val="0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6_ch" w:type="character">
    <w:name w:val="heading 2"/>
    <w:link w:val="Style_26"/>
    <w:rPr>
      <w:rFonts w:ascii="XO Thames" w:hAnsi="XO Thames"/>
      <w:b w:val="1"/>
      <w:sz w:val="28"/>
    </w:rPr>
  </w:style>
  <w:style w:styleId="Style_27" w:type="paragraph">
    <w:name w:val="List Paragraph"/>
    <w:basedOn w:val="Style_1"/>
    <w:link w:val="Style_27_ch"/>
    <w:pPr>
      <w:widowControl w:val="0"/>
      <w:ind w:firstLine="0" w:left="720"/>
      <w:contextualSpacing w:val="1"/>
    </w:pPr>
  </w:style>
  <w:style w:styleId="Style_27_ch" w:type="character">
    <w:name w:val="List Paragraph"/>
    <w:basedOn w:val="Style_1_ch"/>
    <w:link w:val="Style_27"/>
  </w:style>
  <w:style w:default="1" w:styleId="Style_28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2025-12-19T13:24:10Z</dcterms:created>
  <dcterms:modified xsi:type="dcterms:W3CDTF">2026-09-01T12:04:34Z</dcterms:modified>
</cp:coreProperties>
</file>