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                             УТВЕРЖДЕН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                             ___________________________</w:t>
      </w:r>
      <w:proofErr w:type="spellStart"/>
      <w:r>
        <w:rPr>
          <w:rFonts w:ascii="Courier New" w:eastAsiaTheme="minorEastAsia" w:hAnsi="Courier New" w:cs="Courier New"/>
          <w:sz w:val="24"/>
          <w:szCs w:val="24"/>
          <w:lang w:eastAsia="ru-RU"/>
        </w:rPr>
        <w:t>С.В.Вешняков</w:t>
      </w:r>
      <w:proofErr w:type="spell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                               руководитель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Отчет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о деятельности муниципального казенного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города Перми МКУ «Благоустройство Ленинского района»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за период с 01 января 2016 года по 31 декабря 2016 года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(по состоянию на 01 января года, следующего за отчетным)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b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Раздел 1. Общие сведения об учреждении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Theme="minorEastAsia" w:cs="Arial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     1.1. Сведения об учреждении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233"/>
      </w:tblGrid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Полное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муниципальное казенное учреждение «Благоустройство Ленинского района»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Сокращенное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МКУ «Благоустройство Ленинского района»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Юридический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614000, г. Пермь, ул. Пермская, 61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614000, г. Пермь, ул. Пермская, 61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Телефон/факс/электронная почта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212-24-92/233-55-62/ mbu_len@mail.ru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Ф.И.О. руководителя, телефон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Вешняков Сергей Валерьевич, 233-56-25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ОГРН № 1085902009104 от 19 августа 2008 года</w:t>
            </w: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lastRenderedPageBreak/>
        <w:t xml:space="preserve">     1.2. Виды деятельности, осуществляемые учреждением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9332"/>
        <w:gridCol w:w="4394"/>
      </w:tblGrid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Виды деятельности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Основные виды деятельности: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Разработка и реализация перспективных, текущих планов и целевых программ, осуществление технического надзора, согласование и утверждение проектно-сметной документации и технического задания для выполнения работ, осуществление функции муниципального заказчика по размещению муниципального заказа на выполнение работ: по содержанию и текущему ремонту автомобильных дорог местного значения, остановочных пунктов, работ по капитальному ремонту внутриквартальных и </w:t>
            </w:r>
            <w:proofErr w:type="spellStart"/>
            <w:r>
              <w:rPr>
                <w:rFonts w:eastAsiaTheme="minorEastAsia" w:cs="Arial"/>
                <w:lang w:eastAsia="ru-RU"/>
              </w:rPr>
              <w:t>внутридворовых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проездов, дорог в микрорайонах частной застройки, остановочных пунктов в пределах административных границ. Выполнение функций муниципального заказчика на выполнение работ по содержанию и ремонту искусственных неровностей;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УДС. Выполнение функций муниципального заказчика по размещению муниципального заказа на выполнение работ: по ремонту и капитальному ремонту подходов и подъездных путей к местам сбора и накопления отходов, расположенных на земельных участках, находящихся в муниципальной собственности, по ликвидации несанкционированных свалок, по содержанию и ремонту внутриквартальных и внутридомовых территорий, по благоустройству бесхозяйных территорий, а также на выполнение работ по </w:t>
            </w:r>
            <w:proofErr w:type="spellStart"/>
            <w:r>
              <w:rPr>
                <w:rFonts w:eastAsiaTheme="minorEastAsia" w:cs="Arial"/>
                <w:lang w:eastAsia="ru-RU"/>
              </w:rPr>
              <w:t>акарицидной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и </w:t>
            </w:r>
            <w:proofErr w:type="spellStart"/>
            <w:r>
              <w:rPr>
                <w:rFonts w:eastAsiaTheme="minorEastAsia" w:cs="Arial"/>
                <w:lang w:eastAsia="ru-RU"/>
              </w:rPr>
              <w:t>дератизационной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обработке </w:t>
            </w:r>
            <w:proofErr w:type="spellStart"/>
            <w:r>
              <w:rPr>
                <w:rFonts w:eastAsiaTheme="minorEastAsia" w:cs="Arial"/>
                <w:lang w:eastAsia="ru-RU"/>
              </w:rPr>
              <w:t>эпидемически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неблагоприятных мест в пределах административных границ; по установке, содержанию, ремонту и уборке уличных урн на землях общего пользования, на внутриквартальных территориях, остановочных пунктах; по реконструкции, капитальному и текущему ремонту мест массового отдыха населения (парки, сады, скверы) на территории района; по содержанию, текущему ремонту бесхозяйных источников противопожарного водоснабжения в пределах административных границ; по содержанию, уборке и текущему ремонту объектов озеленения общего пользования, фонтанов, </w:t>
            </w:r>
            <w:proofErr w:type="spellStart"/>
            <w:r>
              <w:rPr>
                <w:rFonts w:eastAsiaTheme="minorEastAsia" w:cs="Arial"/>
                <w:lang w:eastAsia="ru-RU"/>
              </w:rPr>
              <w:t>водоохранных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зон малых рек, подходов к родникам, пешеходных мостиков, лестниц, мест массового отдыха у воды в пределах административных границ; на проведение технической инвентаризации объектов </w:t>
            </w:r>
            <w:r>
              <w:rPr>
                <w:rFonts w:eastAsiaTheme="minorEastAsia" w:cs="Arial"/>
                <w:lang w:eastAsia="ru-RU"/>
              </w:rPr>
              <w:lastRenderedPageBreak/>
              <w:t xml:space="preserve">озеленения общего пользования, фонтанов, пешеходных мостиков, лестниц, мест массового отдыха у воды на территории района. Согласование, утверждение проектно-сметной документации и технического задания,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</w:t>
            </w:r>
            <w:proofErr w:type="spellStart"/>
            <w:r>
              <w:rPr>
                <w:rFonts w:eastAsiaTheme="minorEastAsia" w:cs="Arial"/>
                <w:lang w:eastAsia="ru-RU"/>
              </w:rPr>
              <w:t>внутридворовых</w:t>
            </w:r>
            <w:proofErr w:type="spellEnd"/>
            <w:r>
              <w:rPr>
                <w:rFonts w:eastAsiaTheme="minorEastAsia" w:cs="Arial"/>
                <w:lang w:eastAsia="ru-RU"/>
              </w:rPr>
              <w:t xml:space="preserve"> проездов, дорог в микрорайонах частной застройки в пределах административных границ. Осуществление технического надзора за выполнением работ по капитальному ремонту подходов и подъездных путей к местам сбора и накопления отходов, расположенных на земельных участках, находящихся в муниципальной собственности,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района, за проведением мероприятий по содержанию, уборке и ремонту объектов озеленения общего пользования на территории района.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 xml:space="preserve">Устав от 19.08.2008 г. В ред. Распоряжения № СЭД-01-02-205 от 17.11.2011 г.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Постановление администрации города Перми № 716 от 31.07.2008 «О создании муниципальных бюджетных учреждений по благоустройству в территориальных органах администрации города Перми»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Постановление № 741 от 16.11.2011 года «О создании муниципального казенного учреждения» путем изменения типа.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нет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1" w:name="sub_1313"/>
      <w:r>
        <w:rPr>
          <w:rFonts w:eastAsiaTheme="minorEastAsia" w:cs="Courier New"/>
          <w:sz w:val="24"/>
          <w:szCs w:val="24"/>
          <w:lang w:eastAsia="ru-RU"/>
        </w:rPr>
        <w:t xml:space="preserve">     1.3. Функции, осуществляемые учреждением</w:t>
      </w:r>
    </w:p>
    <w:bookmarkEnd w:id="1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894"/>
        <w:gridCol w:w="1474"/>
        <w:gridCol w:w="1474"/>
        <w:gridCol w:w="1954"/>
        <w:gridCol w:w="1408"/>
      </w:tblGrid>
      <w:tr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функций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штатных единиц, шт.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Непрофильные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bookmarkStart w:id="2" w:name="sub_1314"/>
      <w:r>
        <w:rPr>
          <w:rFonts w:eastAsiaTheme="minorEastAsia" w:cs="Courier New"/>
          <w:lang w:eastAsia="ru-RU"/>
        </w:rPr>
        <w:t xml:space="preserve">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ab/>
        <w:t>1.4. Перечень услуг (работ), оказываемых учреждением</w:t>
      </w:r>
    </w:p>
    <w:bookmarkEnd w:id="2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услуги (работы)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Категория потребителей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  <w:hyperlink w:anchor="sub_55555" w:history="1">
              <w:r>
                <w:rPr>
                  <w:rFonts w:eastAsiaTheme="minorEastAsia" w:cs="Arial"/>
                  <w:b/>
                  <w:bCs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──────────────────────────────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3" w:name="sub_55555"/>
      <w:r>
        <w:rPr>
          <w:rFonts w:eastAsiaTheme="minorEastAsia" w:cs="Arial"/>
          <w:sz w:val="18"/>
          <w:szCs w:val="18"/>
          <w:lang w:eastAsia="ru-RU"/>
        </w:rPr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sz w:val="24"/>
          <w:szCs w:val="24"/>
          <w:lang w:eastAsia="ru-RU"/>
        </w:rPr>
      </w:pPr>
      <w:bookmarkStart w:id="4" w:name="sub_1315"/>
      <w:bookmarkEnd w:id="3"/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1.5.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Информация  о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количественном  составе,  средней  заработной</w:t>
      </w:r>
    </w:p>
    <w:bookmarkEnd w:id="4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плате, квалификации работников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871"/>
        <w:gridCol w:w="1213"/>
        <w:gridCol w:w="1344"/>
        <w:gridCol w:w="1346"/>
        <w:gridCol w:w="1344"/>
        <w:gridCol w:w="1344"/>
      </w:tblGrid>
      <w:tr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 изм.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начало отчетного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конец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начало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конец отчетного периода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штатных единиц</w:t>
            </w:r>
            <w:hyperlink w:anchor="sub_5555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штук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разрезе категорий (групп) работников</w:t>
            </w:r>
            <w:hyperlink w:anchor="sub_66666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2-й квалификационный 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3-й квалификационный 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4-й квалификационный 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5-й квалификационный 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1-й квалификационный 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Квалификация работников</w:t>
            </w:r>
            <w:hyperlink w:anchor="sub_77777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2-й квалификационный уровень, без предъявлений к стажу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3-й квалификационный уровень, стаж работы не менее 2-х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1-й квалификационный уровень, стаж работы на руководящих должностях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37795,00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36230,00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36230,00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35277,00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разрезе категорий (групп) работников</w:t>
            </w:r>
            <w:hyperlink w:anchor="sub_66666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37795,00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36230,00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36230,00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35277,00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21898,00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23825,00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23825,00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25220,00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32439,00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28345,00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28345,00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28016,00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33918,00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30674,00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30674,00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28000,00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34320,00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31598,00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31598,00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30516,00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36588,00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35367,00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35367,00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34100,00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67607,00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67571,00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67571,00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65809,00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──────────────────────────────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5" w:name="sub_5555"/>
      <w:r>
        <w:rPr>
          <w:rFonts w:eastAsiaTheme="minorEastAsia" w:cs="Arial"/>
          <w:sz w:val="18"/>
          <w:szCs w:val="18"/>
          <w:lang w:eastAsia="ru-RU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6" w:name="sub_66666"/>
      <w:bookmarkEnd w:id="5"/>
      <w:r>
        <w:rPr>
          <w:rFonts w:eastAsiaTheme="minorEastAsia" w:cs="Arial"/>
          <w:sz w:val="18"/>
          <w:szCs w:val="18"/>
          <w:lang w:eastAsia="ru-RU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7" w:name="sub_77777"/>
      <w:bookmarkEnd w:id="6"/>
      <w:r>
        <w:rPr>
          <w:rFonts w:eastAsiaTheme="minorEastAsia" w:cs="Arial"/>
          <w:sz w:val="18"/>
          <w:szCs w:val="18"/>
          <w:lang w:eastAsia="ru-RU"/>
        </w:rPr>
        <w:t>*** Указывается уровень профессионального образования и стаж работы сотрудников.</w:t>
      </w:r>
    </w:p>
    <w:bookmarkEnd w:id="7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Раздел 2. Результат деятельности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8" w:name="sub_1321"/>
      <w:r>
        <w:rPr>
          <w:rFonts w:eastAsiaTheme="minorEastAsia" w:cs="Courier New"/>
          <w:sz w:val="24"/>
          <w:szCs w:val="24"/>
          <w:lang w:eastAsia="ru-RU"/>
        </w:rPr>
        <w:t xml:space="preserve">     2.1.  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Изменение  балансовой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(остаточной)  стоимости  нефинансовых</w:t>
      </w:r>
    </w:p>
    <w:bookmarkEnd w:id="8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активов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35"/>
        <w:gridCol w:w="1306"/>
        <w:gridCol w:w="1416"/>
        <w:gridCol w:w="1416"/>
        <w:gridCol w:w="1984"/>
      </w:tblGrid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9" w:name="sub_3210"/>
            <w:r>
              <w:rPr>
                <w:rFonts w:eastAsiaTheme="minorEastAsia" w:cs="Arial"/>
                <w:lang w:eastAsia="ru-RU"/>
              </w:rPr>
              <w:t>N</w:t>
            </w:r>
            <w:bookmarkEnd w:id="9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Изменение стоимости нефинансовых активов, %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3474,0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14431,5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+315,4 %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4579,5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+2458,4 %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10" w:name="sub_1322"/>
      <w:r>
        <w:rPr>
          <w:rFonts w:eastAsiaTheme="minorEastAsia" w:cs="Courier New"/>
          <w:sz w:val="24"/>
          <w:szCs w:val="24"/>
          <w:lang w:eastAsia="ru-RU"/>
        </w:rPr>
        <w:t xml:space="preserve">     2.2.  Общая  сумма  выставленных  требований  в возмещение ущерба по</w:t>
      </w:r>
    </w:p>
    <w:bookmarkEnd w:id="10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недостачам и хищениям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535"/>
        <w:gridCol w:w="1223"/>
        <w:gridCol w:w="1440"/>
        <w:gridCol w:w="1418"/>
      </w:tblGrid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11" w:name="sub_3220"/>
            <w:r>
              <w:rPr>
                <w:rFonts w:eastAsiaTheme="minorEastAsia" w:cs="Arial"/>
                <w:lang w:eastAsia="ru-RU"/>
              </w:rPr>
              <w:t>N</w:t>
            </w:r>
            <w:bookmarkEnd w:id="11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денежных средств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от порчи 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12" w:name="sub_1323"/>
      <w:r>
        <w:rPr>
          <w:rFonts w:eastAsiaTheme="minorEastAsia" w:cs="Courier New"/>
          <w:sz w:val="24"/>
          <w:szCs w:val="24"/>
          <w:lang w:eastAsia="ru-RU"/>
        </w:rPr>
        <w:t xml:space="preserve">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ab/>
        <w:t>2.3.  Изменение  дебиторской и кредиторской задолженности в разрезе</w:t>
      </w:r>
    </w:p>
    <w:bookmarkEnd w:id="12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поступлений (выплат)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14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021"/>
        <w:gridCol w:w="1355"/>
        <w:gridCol w:w="1556"/>
        <w:gridCol w:w="1417"/>
        <w:gridCol w:w="2126"/>
        <w:gridCol w:w="2977"/>
      </w:tblGrid>
      <w:tr>
        <w:trPr>
          <w:trHeight w:val="264"/>
        </w:trPr>
        <w:tc>
          <w:tcPr>
            <w:tcW w:w="9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</w:t>
            </w:r>
            <w:r>
              <w:rPr>
                <w:rFonts w:eastAsiaTheme="minorEastAsia" w:cs="Arial"/>
                <w:lang w:eastAsia="ru-RU"/>
              </w:rPr>
              <w:lastRenderedPageBreak/>
              <w:t>к взысканию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Сумма дебиторской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-72,3 %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разрезе поступлений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-72,3 %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120621000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-90,2 %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120626000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-100,0 %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130302000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-52,4%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Сумма кредиторской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26503,2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47611,0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+179,6 %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26503,2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47611,0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+179,6 %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х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130226000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26510,1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47611,0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+179,6 %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130404000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-100 %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x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13" w:name="sub_1324"/>
      <w:r>
        <w:rPr>
          <w:rFonts w:eastAsiaTheme="minorEastAsia" w:cs="Courier New"/>
          <w:sz w:val="24"/>
          <w:szCs w:val="24"/>
          <w:lang w:eastAsia="ru-RU"/>
        </w:rPr>
        <w:t xml:space="preserve">   2.4. Информация о результатах оказания услуг (выполнения работ)</w:t>
      </w:r>
      <w:hyperlink w:anchor="sub_88888" w:history="1">
        <w:r>
          <w:rPr>
            <w:rFonts w:eastAsiaTheme="minorEastAsia" w:cs="Courier New"/>
            <w:b/>
            <w:bCs/>
            <w:sz w:val="24"/>
            <w:szCs w:val="24"/>
            <w:lang w:eastAsia="ru-RU"/>
          </w:rPr>
          <w:t>*</w:t>
        </w:r>
      </w:hyperlink>
    </w:p>
    <w:bookmarkEnd w:id="13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170"/>
        <w:gridCol w:w="1075"/>
        <w:gridCol w:w="1344"/>
        <w:gridCol w:w="1210"/>
        <w:gridCol w:w="1344"/>
        <w:gridCol w:w="1344"/>
      </w:tblGrid>
      <w:tr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бесплатными,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частично платными,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полностью платными,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lastRenderedPageBreak/>
        <w:t>──────────────────────────────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14" w:name="sub_88888"/>
      <w:r>
        <w:rPr>
          <w:rFonts w:eastAsiaTheme="minorEastAsia" w:cs="Arial"/>
          <w:sz w:val="18"/>
          <w:szCs w:val="18"/>
          <w:lang w:eastAsia="ru-RU"/>
        </w:rPr>
        <w:t xml:space="preserve">* </w:t>
      </w:r>
      <w:hyperlink w:anchor="sub_1324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Пункт 2.4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lang w:eastAsia="ru-RU"/>
        </w:rPr>
      </w:pPr>
      <w:bookmarkStart w:id="15" w:name="sub_1325"/>
      <w:bookmarkEnd w:id="14"/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2.5.  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Информация  о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суммах  доходов,  полученных  учреждением  от</w:t>
      </w:r>
    </w:p>
    <w:bookmarkEnd w:id="15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оказания платных услуг (выполнения работ)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091"/>
        <w:gridCol w:w="1355"/>
        <w:gridCol w:w="1344"/>
        <w:gridCol w:w="1210"/>
        <w:gridCol w:w="1344"/>
        <w:gridCol w:w="1344"/>
      </w:tblGrid>
      <w:tr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 изм.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bookmarkStart w:id="16" w:name="sub_1326"/>
      <w:r>
        <w:rPr>
          <w:rFonts w:eastAsiaTheme="minorEastAsia" w:cs="Courier New"/>
          <w:lang w:eastAsia="ru-RU"/>
        </w:rPr>
        <w:t xml:space="preserve">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ab/>
        <w:t>2.6.  Информация  о  ценах  (тарифах)  на  платные  услуги (работы),</w:t>
      </w:r>
    </w:p>
    <w:bookmarkEnd w:id="16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оказываемые потребителям (в динамике в течение отчетного года)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bookmarkStart w:id="17" w:name="sub_2600"/>
            <w:r>
              <w:rPr>
                <w:rFonts w:eastAsiaTheme="minorEastAsia" w:cs="Arial"/>
                <w:sz w:val="16"/>
                <w:szCs w:val="16"/>
                <w:lang w:eastAsia="ru-RU"/>
              </w:rPr>
              <w:t>Наименование услуги (работы)</w:t>
            </w:r>
            <w:bookmarkEnd w:id="17"/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Theme="minorEastAsia" w:cs="Arial"/>
                <w:sz w:val="16"/>
                <w:szCs w:val="16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Год 2016</w:t>
            </w:r>
          </w:p>
        </w:tc>
      </w:tr>
      <w:tr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факт</w:t>
            </w:r>
          </w:p>
        </w:tc>
      </w:tr>
      <w:tr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декабрь</w:t>
            </w:r>
          </w:p>
        </w:tc>
      </w:tr>
      <w:t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27</w:t>
            </w:r>
          </w:p>
        </w:tc>
      </w:tr>
      <w:t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</w:tr>
      <w:t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sz w:val="16"/>
                <w:szCs w:val="16"/>
                <w:lang w:eastAsia="ru-RU"/>
              </w:rPr>
            </w:pPr>
            <w:r>
              <w:rPr>
                <w:rFonts w:eastAsiaTheme="minorEastAsia" w:cs="Arial"/>
                <w:sz w:val="16"/>
                <w:szCs w:val="16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bookmarkStart w:id="18" w:name="sub_1327"/>
      <w:r>
        <w:rPr>
          <w:rFonts w:eastAsiaTheme="minorEastAsia" w:cs="Courier New"/>
          <w:sz w:val="24"/>
          <w:szCs w:val="24"/>
          <w:lang w:eastAsia="ru-RU"/>
        </w:rPr>
        <w:t xml:space="preserve">     2.7. Информация о жалобах потребителей</w:t>
      </w:r>
    </w:p>
    <w:bookmarkEnd w:id="18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2"/>
        <w:gridCol w:w="1276"/>
        <w:gridCol w:w="1276"/>
        <w:gridCol w:w="2835"/>
      </w:tblGrid>
      <w:tr>
        <w:tc>
          <w:tcPr>
            <w:tcW w:w="11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жалоб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Принятые меры по результатам рассмотрения жалоб</w:t>
            </w:r>
          </w:p>
        </w:tc>
      </w:tr>
      <w:tr>
        <w:tc>
          <w:tcPr>
            <w:tcW w:w="11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     2.8.  Информация  о показателях кассового исполнения бюджетной сметы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учреждения    и 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показателях,  доведенных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учреждению  лимитов  бюджетных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обязательств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156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4819"/>
        <w:gridCol w:w="1985"/>
        <w:gridCol w:w="1985"/>
        <w:gridCol w:w="1290"/>
      </w:tblGrid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Кассовый расход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% исполнения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931 0314 14202 21120 244 225  951 10000 00000000000000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192 911,94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192 911,28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  <w:tr>
        <w:trPr>
          <w:trHeight w:val="6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931 0314 14202 21120 244 226  951 10000 00000000000000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164 134,06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164 134,06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931 0409 10101 00000 244 226 221 10000 00000000000000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234 449 312,00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234 398 596,69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99,98%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931 0409 10101 54200 244 226 221 12110 00000000000000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49 380 282,00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49 380 282,00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931 0409 10107 00000 244 226 221 10000 00000000000000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3 978 100,00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3 978 100,00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931 0409 11106 00000 244 226 221 10000 00000000000000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423 530,00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423 529,27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931 0409 12203 21780 244 226 211 10000 00000000000000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5 084 400,00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4 962 751,44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97,61%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931 0503 09101 21140 244 226 621 10000 00000000000000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1 242 200,00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1 242 128,16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931 0503 11101 00000 244 226 221 10000 00000000000000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22 635 344,26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22 624 196,56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99,95%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931 0503 11102 00000 244 226 221 10000 00000000000000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1 240 241,00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1 240 241,00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931 0503 17203 21710 244 226 941 10000 00000000000000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1 030 422,00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1 030 412,74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931 0505 10301 00590 111  211 221 10000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5 651 626,35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5 651 626,35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Начисление 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931 0505 10301 00590 119 213 221 10000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1 676 573,65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1 663 732,70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99,23%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931 0505 10301 00590 244 221 221 10000 0000000000000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126 596,37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126 596,37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931 0505 10301 00590 244 222 221 10000 0000000000000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1 132 500,00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1 132 500,00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931 0505 10301 00590 244 223 221 10000 0400000000000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85 000,00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84 802,51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99,78%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931 0505 10301 00590 244 223 221 10000 0600000000000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47 000,00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931 0505 10301 00590 244 223 221 10000 0700000000000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4 190,00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4 190,00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931 0505 10301 00590 244 225 221 10000 0000000000000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352 679,60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352 679,60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931 0505 10301 00590 244 226 221 10000 0000000000000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398 661,94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398 661,94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931 0505 10301 00590 244 310 221 10000 0900000000000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105 180,00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105 180,00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931 0505 10301 00590 244 340 221 10000 0000000000000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132 721,09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132 721,09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931 0505 10301 00590 851 290 221 10000 1900000000000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3 371,00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3 371,00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100%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931 0603 21101 21640 244 226 731 10000 00000000000000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929 300,00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929 272,68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931 0603 21104 21620 244 226 731 10000 00000000000000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251 615,00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251 613,73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99,99%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bookmarkStart w:id="19" w:name="sub_1329"/>
      <w:r>
        <w:rPr>
          <w:rFonts w:eastAsiaTheme="minorEastAsia" w:cs="Courier New"/>
          <w:lang w:eastAsia="ru-RU"/>
        </w:rPr>
        <w:t xml:space="preserve">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ab/>
        <w:t>2.9.  Информация  об  исполнении  муниципального задания на оказание</w:t>
      </w:r>
    </w:p>
    <w:bookmarkEnd w:id="19"/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муниципальных услуг (выполнение работ)</w:t>
      </w:r>
      <w:hyperlink w:anchor="sub_11118" w:history="1">
        <w:r>
          <w:rPr>
            <w:rFonts w:eastAsiaTheme="minorEastAsia" w:cs="Courier New"/>
            <w:b/>
            <w:bCs/>
            <w:color w:val="106BBE"/>
            <w:sz w:val="24"/>
            <w:szCs w:val="24"/>
            <w:lang w:eastAsia="ru-RU"/>
          </w:rPr>
          <w:t>*</w:t>
        </w:r>
      </w:hyperlink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995"/>
        <w:gridCol w:w="1327"/>
        <w:gridCol w:w="1276"/>
        <w:gridCol w:w="1275"/>
        <w:gridCol w:w="1418"/>
        <w:gridCol w:w="1276"/>
        <w:gridCol w:w="1275"/>
        <w:gridCol w:w="1417"/>
        <w:gridCol w:w="1276"/>
      </w:tblGrid>
      <w:tr>
        <w:tc>
          <w:tcPr>
            <w:tcW w:w="9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услуги (работы)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Объем услуг (работ), ед. изм.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Объем финансового обеспечения, тыс. руб.</w:t>
            </w:r>
          </w:p>
        </w:tc>
      </w:tr>
      <w:tr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факт</w:t>
            </w:r>
          </w:p>
        </w:tc>
      </w:tr>
      <w:tr>
        <w:tc>
          <w:tcPr>
            <w:tcW w:w="9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</w:t>
            </w:r>
          </w:p>
        </w:tc>
      </w:tr>
      <w:t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──────────────────────────────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20" w:name="sub_11118"/>
      <w:r>
        <w:rPr>
          <w:rFonts w:eastAsiaTheme="minorEastAsia" w:cs="Arial"/>
          <w:sz w:val="18"/>
          <w:szCs w:val="18"/>
          <w:lang w:eastAsia="ru-RU"/>
        </w:rPr>
        <w:t xml:space="preserve">* </w:t>
      </w:r>
      <w:hyperlink w:anchor="sub_1329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Пункт 2.9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</w:pPr>
      <w:bookmarkStart w:id="21" w:name="sub_1303"/>
      <w:bookmarkEnd w:id="20"/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Раздел 3. Об использовании имущества, закрепленного за</w:t>
      </w:r>
    </w:p>
    <w:bookmarkEnd w:id="21"/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b/>
          <w:bCs/>
          <w:color w:val="26282F"/>
          <w:sz w:val="24"/>
          <w:szCs w:val="24"/>
          <w:lang w:eastAsia="ru-RU"/>
        </w:rPr>
        <w:t>муниципальным казенным учреждением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     3.1.    Информация 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об  общей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стоимости  недвижимого  и  движимого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имущества муниципального казенного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957"/>
        <w:gridCol w:w="1210"/>
        <w:gridCol w:w="1555"/>
        <w:gridCol w:w="1628"/>
        <w:gridCol w:w="1632"/>
        <w:gridCol w:w="1701"/>
      </w:tblGrid>
      <w:tr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начало отчетного периода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конец отчетного периода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 конец отчетного периода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3347,5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3473,9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3473,9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14431,5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недвижимого имущества, </w:t>
            </w:r>
            <w:r>
              <w:rPr>
                <w:rFonts w:eastAsiaTheme="minorEastAsia" w:cs="Arial"/>
                <w:b/>
                <w:bCs/>
                <w:color w:val="26282F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1407,9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1407,9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1407,9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12349,5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движимого имущества, </w:t>
            </w:r>
            <w:r>
              <w:rPr>
                <w:rFonts w:eastAsiaTheme="minorEastAsia" w:cs="Arial"/>
                <w:b/>
                <w:bCs/>
                <w:color w:val="26282F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1939,6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2066,0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2066,0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2082,0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290,0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179,0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4579,5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недвижимого имущества, </w:t>
            </w:r>
            <w:r>
              <w:rPr>
                <w:rFonts w:eastAsiaTheme="minorEastAsia" w:cs="Arial"/>
                <w:b/>
                <w:bCs/>
                <w:color w:val="26282F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4493,2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движимого имущества, </w:t>
            </w:r>
            <w:r>
              <w:rPr>
                <w:rFonts w:eastAsiaTheme="minorEastAsia" w:cs="Arial"/>
                <w:b/>
                <w:bCs/>
                <w:color w:val="26282F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290,0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179,0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86,3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тыс.руб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 xml:space="preserve">3.2.    </w:t>
      </w:r>
      <w:proofErr w:type="gramStart"/>
      <w:r>
        <w:rPr>
          <w:rFonts w:eastAsiaTheme="minorEastAsia" w:cs="Courier New"/>
          <w:sz w:val="24"/>
          <w:szCs w:val="24"/>
          <w:lang w:eastAsia="ru-RU"/>
        </w:rPr>
        <w:t>Информация  об</w:t>
      </w:r>
      <w:proofErr w:type="gramEnd"/>
      <w:r>
        <w:rPr>
          <w:rFonts w:eastAsiaTheme="minorEastAsia" w:cs="Courier New"/>
          <w:sz w:val="24"/>
          <w:szCs w:val="24"/>
          <w:lang w:eastAsia="ru-RU"/>
        </w:rPr>
        <w:t xml:space="preserve">  использовании  имущества,  закрепленного  за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sz w:val="24"/>
          <w:szCs w:val="24"/>
          <w:lang w:eastAsia="ru-RU"/>
        </w:rPr>
      </w:pPr>
      <w:r>
        <w:rPr>
          <w:rFonts w:eastAsiaTheme="minorEastAsia" w:cs="Courier New"/>
          <w:sz w:val="24"/>
          <w:szCs w:val="24"/>
          <w:lang w:eastAsia="ru-RU"/>
        </w:rPr>
        <w:t>муниципальным казенным учреждением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707"/>
        <w:gridCol w:w="979"/>
        <w:gridCol w:w="1506"/>
        <w:gridCol w:w="1418"/>
        <w:gridCol w:w="1417"/>
        <w:gridCol w:w="1560"/>
      </w:tblGrid>
      <w:tr>
        <w:tc>
          <w:tcPr>
            <w:tcW w:w="9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N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Наименование показателей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Ед.изм</w:t>
            </w:r>
            <w:proofErr w:type="spellEnd"/>
            <w:r>
              <w:rPr>
                <w:rFonts w:eastAsiaTheme="minorEastAsia" w:cs="Arial"/>
                <w:lang w:eastAsia="ru-RU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Год 2016</w:t>
            </w:r>
          </w:p>
        </w:tc>
      </w:tr>
      <w:tr>
        <w:tc>
          <w:tcPr>
            <w:tcW w:w="956" w:type="dxa"/>
            <w:vMerge/>
            <w:tcBorders>
              <w:top w:val="nil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 xml:space="preserve">на начало отчетного </w:t>
            </w:r>
            <w:r>
              <w:rPr>
                <w:rFonts w:eastAsiaTheme="minorEastAsia" w:cs="Arial"/>
                <w:lang w:eastAsia="ru-RU"/>
              </w:rPr>
              <w:lastRenderedPageBreak/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 xml:space="preserve">на конец отчетного </w:t>
            </w:r>
            <w:r>
              <w:rPr>
                <w:rFonts w:eastAsiaTheme="minorEastAsia" w:cs="Arial"/>
                <w:lang w:eastAsia="ru-RU"/>
              </w:rPr>
              <w:lastRenderedPageBreak/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 xml:space="preserve">на начало отчетного </w:t>
            </w:r>
            <w:r>
              <w:rPr>
                <w:rFonts w:eastAsiaTheme="minorEastAsia" w:cs="Arial"/>
                <w:lang w:eastAsia="ru-RU"/>
              </w:rPr>
              <w:lastRenderedPageBreak/>
              <w:t>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 xml:space="preserve">на конец отчетного </w:t>
            </w:r>
            <w:r>
              <w:rPr>
                <w:rFonts w:eastAsiaTheme="minorEastAsia" w:cs="Arial"/>
                <w:lang w:eastAsia="ru-RU"/>
              </w:rPr>
              <w:lastRenderedPageBreak/>
              <w:t>периода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lastRenderedPageBreak/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54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49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1.3.1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1.3.2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783,95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783,95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22" w:name="sub_3211"/>
            <w:r>
              <w:rPr>
                <w:rFonts w:eastAsiaTheme="minorEastAsia" w:cs="Arial"/>
                <w:lang w:eastAsia="ru-RU"/>
              </w:rPr>
              <w:t>2.1.1</w:t>
            </w:r>
            <w:bookmarkEnd w:id="22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  <w:hyperlink w:anchor="sub_111111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23" w:name="sub_3212"/>
            <w:r>
              <w:rPr>
                <w:rFonts w:eastAsiaTheme="minorEastAsia" w:cs="Arial"/>
                <w:lang w:eastAsia="ru-RU"/>
              </w:rPr>
              <w:t>2.1.2</w:t>
            </w:r>
            <w:bookmarkEnd w:id="23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  <w:hyperlink w:anchor="sub_111111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2.2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24" w:name="sub_331"/>
            <w:r>
              <w:rPr>
                <w:rFonts w:eastAsiaTheme="minorEastAsia" w:cs="Arial"/>
                <w:lang w:eastAsia="ru-RU"/>
              </w:rPr>
              <w:t>3.1</w:t>
            </w:r>
            <w:bookmarkEnd w:id="24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аренду</w:t>
            </w:r>
            <w:hyperlink w:anchor="sub_111111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bookmarkStart w:id="25" w:name="sub_332"/>
            <w:r>
              <w:rPr>
                <w:rFonts w:eastAsiaTheme="minorEastAsia" w:cs="Arial"/>
                <w:lang w:eastAsia="ru-RU"/>
              </w:rPr>
              <w:t>3.2</w:t>
            </w:r>
            <w:bookmarkEnd w:id="25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переданного в безвозмездное пользование</w:t>
            </w:r>
            <w:hyperlink w:anchor="sub_111111" w:history="1">
              <w:r>
                <w:rPr>
                  <w:rFonts w:eastAsiaTheme="minorEastAsia" w:cs="Arial"/>
                  <w:b/>
                  <w:bCs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proofErr w:type="spellStart"/>
            <w:r>
              <w:rPr>
                <w:rFonts w:eastAsiaTheme="minorEastAsia" w:cs="Arial"/>
                <w:lang w:eastAsia="ru-RU"/>
              </w:rPr>
              <w:t>кв.м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  <w:t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тыс.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ru-RU"/>
              </w:rPr>
            </w:pPr>
            <w:r>
              <w:rPr>
                <w:rFonts w:eastAsiaTheme="minorEastAsia" w:cs="Arial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──────────────────────────────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18"/>
          <w:szCs w:val="18"/>
          <w:lang w:eastAsia="ru-RU"/>
        </w:rPr>
      </w:pPr>
      <w:bookmarkStart w:id="26" w:name="sub_111111"/>
      <w:r>
        <w:rPr>
          <w:rFonts w:eastAsiaTheme="minorEastAsia" w:cs="Arial"/>
          <w:sz w:val="18"/>
          <w:szCs w:val="18"/>
          <w:lang w:eastAsia="ru-RU"/>
        </w:rPr>
        <w:t xml:space="preserve">* В графах 4-7 по </w:t>
      </w:r>
      <w:hyperlink w:anchor="sub_3211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строкам 2.1.1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, </w:t>
      </w:r>
      <w:hyperlink w:anchor="sub_3212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2.1.2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, </w:t>
      </w:r>
      <w:hyperlink w:anchor="sub_331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3.1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, </w:t>
      </w:r>
      <w:hyperlink w:anchor="sub_332" w:history="1">
        <w:r>
          <w:rPr>
            <w:rFonts w:eastAsiaTheme="minorEastAsia" w:cs="Arial"/>
            <w:b/>
            <w:bCs/>
            <w:sz w:val="18"/>
            <w:szCs w:val="18"/>
            <w:lang w:eastAsia="ru-RU"/>
          </w:rPr>
          <w:t>3.2</w:t>
        </w:r>
      </w:hyperlink>
      <w:r>
        <w:rPr>
          <w:rFonts w:eastAsiaTheme="minorEastAsia" w:cs="Arial"/>
          <w:sz w:val="18"/>
          <w:szCs w:val="18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bookmarkEnd w:id="26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lastRenderedPageBreak/>
        <w:t>Руководитель финансово-</w:t>
      </w:r>
    </w:p>
    <w:p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экономической службы учреждения</w:t>
      </w:r>
      <w:r>
        <w:rPr>
          <w:rFonts w:eastAsiaTheme="minorEastAsia" w:cs="Courier New"/>
          <w:lang w:eastAsia="ru-RU"/>
        </w:rPr>
        <w:tab/>
        <w:t xml:space="preserve">               Н.А. Хозяшева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(или иное уполномоченное лицо)   ______________  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 xml:space="preserve">                                    (подпись)     (расшифровка подписи)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Исполнитель (лицо, ответственное                     Ю.А. Сивкова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за составление отчета)           ______________  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 xml:space="preserve">                                    (подпись)     (расшифровка подписи)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 xml:space="preserve">СОГЛАСОВАН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(руководитель функционального (территориального)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органа администрации города Перми,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осуществляющего функции и полномочия учредителя)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СОГЛАСОВАН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(начальник департамента имущественных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 New"/>
          <w:lang w:eastAsia="ru-RU"/>
        </w:rPr>
      </w:pPr>
      <w:r>
        <w:rPr>
          <w:rFonts w:eastAsiaTheme="minorEastAsia" w:cs="Courier New"/>
          <w:lang w:eastAsia="ru-RU"/>
        </w:rPr>
        <w:t>отношений администрации города Перми)</w:t>
      </w:r>
    </w:p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50C9-15B4-4EDE-8F8C-29C412C1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F763-BC6D-4138-8938-A892E6F8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Стампель Наталья Николаевна</cp:lastModifiedBy>
  <cp:revision>2</cp:revision>
  <cp:lastPrinted>2017-01-30T10:06:00Z</cp:lastPrinted>
  <dcterms:created xsi:type="dcterms:W3CDTF">2017-02-20T05:31:00Z</dcterms:created>
  <dcterms:modified xsi:type="dcterms:W3CDTF">2017-02-20T05:31:00Z</dcterms:modified>
</cp:coreProperties>
</file>