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25.01.2024)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  <w:outlineLvl w:val="0"/>
            </w:pPr>
            <w:r>
              <w:rPr>
                <w:sz w:val="24"/>
              </w:rPr>
              <w:t xml:space="preserve">N 460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УКАЗ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4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4"/>
        </w:rPr>
        <w:t xml:space="preserve">АКТЫ ПРЕЗИДЕНТА РОССИЙСКОЙ ФЕДЕРАЦИИ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Указов Президента РФ от 19.09.2017 </w:t>
            </w:r>
            <w:r>
              <w:rPr>
                <w:color w:val="392c69"/>
                <w:sz w:val="24"/>
              </w:rPr>
              <w:t xml:space="preserve">N 431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09.10.2017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 от 15.01.2020 </w:t>
            </w:r>
            <w:r>
              <w:rPr>
                <w:color w:val="392c69"/>
                <w:sz w:val="24"/>
              </w:rPr>
              <w:t xml:space="preserve">N 13</w:t>
            </w:r>
            <w:r>
              <w:rPr>
                <w:color w:val="392c69"/>
                <w:sz w:val="24"/>
              </w:rPr>
              <w:t xml:space="preserve">, от 10.12.2020 </w:t>
            </w:r>
            <w:r>
              <w:rPr>
                <w:color w:val="392c69"/>
                <w:sz w:val="24"/>
              </w:rPr>
              <w:t xml:space="preserve">N 778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18.07.2022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 от 25.01.2024 </w:t>
            </w:r>
            <w:r>
              <w:rPr>
                <w:color w:val="392c69"/>
                <w:sz w:val="24"/>
              </w:rPr>
              <w:t xml:space="preserve">N 71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25 декабря 2008 г. </w:t>
      </w:r>
      <w:r>
        <w:rPr>
          <w:sz w:val="24"/>
        </w:rPr>
        <w:t xml:space="preserve">N 273-ФЗ</w:t>
      </w:r>
      <w:r>
        <w:rPr>
          <w:sz w:val="24"/>
        </w:rPr>
        <w:t xml:space="preserve"> "О противодействии коррупции" и от 3 декабря 2012 г. </w:t>
      </w:r>
      <w:r>
        <w:rPr>
          <w:sz w:val="24"/>
        </w:rPr>
        <w:t xml:space="preserve">N 230-ФЗ</w:t>
      </w:r>
      <w:r>
        <w:rPr>
          <w:sz w:val="2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прилагаемую </w:t>
      </w:r>
      <w:hyperlink w:tooltip="                                СПРАВКА &lt;1&gt;" w:anchor="P82" w:history="0">
        <w:r>
          <w:rPr>
            <w:color w:val="0000ff"/>
            <w:sz w:val="24"/>
          </w:rPr>
          <w:t xml:space="preserve">форму</w:t>
        </w:r>
      </w:hyperlink>
      <w:r>
        <w:rPr>
          <w:sz w:val="24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tooltip="                                СПРАВКА &lt;1&gt;" w:anchor="P82" w:history="0">
        <w:r>
          <w:rPr>
            <w:color w:val="0000ff"/>
            <w:sz w:val="24"/>
          </w:rPr>
          <w:t xml:space="preserve">форме</w:t>
        </w:r>
      </w:hyperlink>
      <w:r>
        <w:rPr>
          <w:sz w:val="24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15.01.2020 N 13)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Внести в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r>
        <w:rPr>
          <w:sz w:val="24"/>
        </w:rPr>
        <w:t xml:space="preserve">Положение</w:t>
      </w:r>
      <w:r>
        <w:rPr>
          <w:sz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</w:t>
      </w:r>
      <w:r>
        <w:rPr>
          <w:sz w:val="24"/>
        </w:rPr>
        <w:t xml:space="preserve">Указе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подпункты "б"</w:t>
      </w:r>
      <w:r>
        <w:rPr>
          <w:sz w:val="24"/>
        </w:rPr>
        <w:t xml:space="preserve"> - </w:t>
      </w:r>
      <w:r>
        <w:rPr>
          <w:sz w:val="24"/>
        </w:rPr>
        <w:t xml:space="preserve">"и" пункта 1</w:t>
      </w:r>
      <w:r>
        <w:rPr>
          <w:sz w:val="24"/>
        </w:rPr>
        <w:t xml:space="preserve"> признать утратившими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пункт 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пункт 3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в </w:t>
      </w:r>
      <w:r>
        <w:rPr>
          <w:sz w:val="24"/>
        </w:rPr>
        <w:t xml:space="preserve">Положении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</w:t>
      </w:r>
      <w:r>
        <w:rPr>
          <w:sz w:val="24"/>
        </w:rPr>
        <w:t xml:space="preserve">пункте 3</w:t>
      </w:r>
      <w:r>
        <w:rPr>
          <w:sz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</w:t>
      </w:r>
      <w:r>
        <w:rPr>
          <w:sz w:val="24"/>
        </w:rPr>
        <w:t xml:space="preserve">подпункте "б" пункта 4</w:t>
      </w:r>
      <w:r>
        <w:rPr>
          <w:sz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</w:t>
      </w:r>
      <w:r>
        <w:rPr>
          <w:sz w:val="24"/>
        </w:rPr>
        <w:t xml:space="preserve">абзаце втором пункта 5</w:t>
      </w:r>
      <w:r>
        <w:rPr>
          <w:sz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Внести в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r>
        <w:rPr>
          <w:sz w:val="24"/>
        </w:rPr>
        <w:t xml:space="preserve">Положение</w:t>
      </w:r>
      <w:r>
        <w:rPr>
          <w:sz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</w:t>
      </w:r>
      <w:r>
        <w:rPr>
          <w:sz w:val="24"/>
        </w:rPr>
        <w:t xml:space="preserve">Указе</w:t>
      </w:r>
      <w:r>
        <w:rPr>
          <w:sz w:val="24"/>
        </w:rPr>
        <w:t xml:space="preserve">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подпункты "б"</w:t>
      </w:r>
      <w:r>
        <w:rPr>
          <w:sz w:val="24"/>
        </w:rPr>
        <w:t xml:space="preserve"> - </w:t>
      </w:r>
      <w:r>
        <w:rPr>
          <w:sz w:val="24"/>
        </w:rPr>
        <w:t xml:space="preserve">"д" пункта 1</w:t>
      </w:r>
      <w:r>
        <w:rPr>
          <w:sz w:val="24"/>
        </w:rPr>
        <w:t xml:space="preserve"> признать утратившими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пункт 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в </w:t>
      </w:r>
      <w:r>
        <w:rPr>
          <w:sz w:val="24"/>
        </w:rPr>
        <w:t xml:space="preserve">абзаце первом пункта 3</w:t>
      </w:r>
      <w:r>
        <w:rPr>
          <w:sz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Внести в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r>
        <w:rPr>
          <w:sz w:val="24"/>
        </w:rPr>
        <w:t xml:space="preserve">абзац первый пункта 1</w:t>
      </w:r>
      <w:r>
        <w:rPr>
          <w:sz w:val="24"/>
        </w:rPr>
        <w:t xml:space="preserve">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Внести в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</w:t>
      </w:r>
      <w:r>
        <w:rPr>
          <w:sz w:val="24"/>
        </w:rPr>
        <w:t xml:space="preserve">абзац первый пункта 1</w:t>
      </w:r>
      <w:r>
        <w:rPr>
          <w:sz w:val="24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в </w:t>
      </w:r>
      <w:r>
        <w:rPr>
          <w:sz w:val="24"/>
        </w:rPr>
        <w:t xml:space="preserve">пункте 2</w:t>
      </w:r>
      <w:r>
        <w:rPr>
          <w:sz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в </w:t>
      </w:r>
      <w:r>
        <w:rPr>
          <w:sz w:val="24"/>
        </w:rPr>
        <w:t xml:space="preserve">пункте 3</w:t>
      </w:r>
      <w:r>
        <w:rPr>
          <w:sz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в </w:t>
      </w:r>
      <w:r>
        <w:rPr>
          <w:sz w:val="24"/>
        </w:rPr>
        <w:t xml:space="preserve">пункте 4</w:t>
      </w:r>
      <w:r>
        <w:rPr>
          <w:sz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в </w:t>
      </w:r>
      <w:r>
        <w:rPr>
          <w:sz w:val="24"/>
        </w:rPr>
        <w:t xml:space="preserve">пункте 5</w:t>
      </w:r>
      <w:r>
        <w:rPr>
          <w:sz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в </w:t>
      </w:r>
      <w:r>
        <w:rPr>
          <w:sz w:val="24"/>
        </w:rPr>
        <w:t xml:space="preserve">пункте 6</w:t>
      </w:r>
      <w:r>
        <w:rPr>
          <w:sz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</w:t>
      </w:r>
      <w:r>
        <w:rPr>
          <w:sz w:val="24"/>
        </w:rPr>
        <w:t xml:space="preserve">пункт 8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Внести в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</w:t>
      </w:r>
      <w:r>
        <w:rPr>
          <w:sz w:val="24"/>
        </w:rPr>
        <w:t xml:space="preserve">пункт 9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пунктом 9.1 следующего содержания: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"9.1. Установить, что сведения, предусмотренные </w:t>
      </w:r>
      <w:r>
        <w:rPr>
          <w:sz w:val="24"/>
        </w:rPr>
        <w:t xml:space="preserve">статьей 3</w:t>
      </w:r>
      <w:r>
        <w:rPr>
          <w:sz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/>
      </w:pPr>
      <w:r>
        <w:rPr>
          <w:sz w:val="24"/>
        </w:rPr>
        <w:t xml:space="preserve">23 июня 2014 года</w:t>
      </w:r>
    </w:p>
    <w:p>
      <w:pPr>
        <w:pStyle w:val="0"/>
        <w:spacing w:before="240"/>
      </w:pPr>
      <w:r>
        <w:rPr>
          <w:sz w:val="24"/>
        </w:rPr>
        <w:t xml:space="preserve">N 460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Указом Президента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23 июня 2014 г. N 460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Указов Президента РФ от 19.09.2017 </w:t>
            </w:r>
            <w:r>
              <w:rPr>
                <w:color w:val="392c69"/>
                <w:sz w:val="24"/>
              </w:rPr>
              <w:t xml:space="preserve">N 431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09.10.2017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 от 15.01.2020 </w:t>
            </w:r>
            <w:r>
              <w:rPr>
                <w:color w:val="392c69"/>
                <w:sz w:val="24"/>
              </w:rPr>
              <w:t xml:space="preserve">N 13</w:t>
            </w:r>
            <w:r>
              <w:rPr>
                <w:color w:val="392c69"/>
                <w:sz w:val="24"/>
              </w:rPr>
              <w:t xml:space="preserve">, от 10.12.2020 </w:t>
            </w:r>
            <w:r>
              <w:rPr>
                <w:color w:val="392c69"/>
                <w:sz w:val="24"/>
              </w:rPr>
              <w:t xml:space="preserve">N 778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18.07.2022 </w:t>
            </w:r>
            <w:r>
              <w:rPr>
                <w:color w:val="392c69"/>
                <w:sz w:val="24"/>
              </w:rPr>
              <w:t xml:space="preserve">N 472</w:t>
            </w:r>
            <w:r>
              <w:rPr>
                <w:color w:val="392c69"/>
                <w:sz w:val="24"/>
              </w:rPr>
              <w:t xml:space="preserve">, от 25.01.2024 </w:t>
            </w:r>
            <w:r>
              <w:rPr>
                <w:color w:val="392c69"/>
                <w:sz w:val="24"/>
              </w:rPr>
              <w:t xml:space="preserve">N 71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О заполнении Справки в 2025 году (за отчетный 2024 год) см. Методические </w:t>
            </w:r>
            <w:r>
              <w:rPr>
                <w:color w:val="392c69"/>
                <w:sz w:val="24"/>
              </w:rPr>
              <w:t xml:space="preserve">рекомендации</w:t>
            </w:r>
            <w:r>
              <w:rPr>
                <w:color w:val="392c69"/>
                <w:sz w:val="24"/>
              </w:rPr>
              <w:t xml:space="preserve">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1"/>
        <w:spacing w:before="260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tooltip="    &lt;1&gt;  Заполняется с использованием специального программного обеспечения" w:anchor="P122" w:history="0">
        <w:r>
          <w:rPr>
            <w:color w:val="0000ff"/>
            <w:sz w:val="20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tooltip="    &lt;2&gt;  Сведения представляются лицом, замещающим должность, осуществление" w:anchor="P130" w:history="0">
        <w:r>
          <w:rPr>
            <w:color w:val="0000ff"/>
            <w:sz w:val="20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tooltip="    &lt;1&gt;  Указываются  доходы  (включая  пенсии,  пособия,  иные выплаты) за" w:anchor="P172" w:history="0">
        <w:r>
          <w:rPr>
            <w:color w:val="0000ff"/>
            <w:sz w:val="20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</w:t>
            </w:r>
            <w:hyperlink w:tooltip="    &lt;2&gt;  Доход,  полученный  в  иностранной валюте, указывается в рублях по" w:anchor="P174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one"/>
          </w:tblBorders>
        </w:tblPrEx>
        <w:tc>
          <w:tcPr>
            <w:tcW w:w="567" w:type="dxa"/>
            <w:tcBorders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101" w:type="dxa"/>
            <w:tcBorders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 </w:t>
            </w:r>
            <w:hyperlink w:tooltip="    &lt;3&gt;  В  случае указания дохода от продажи цифрового финансового актива," w:anchor="P180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2381" w:type="dxa"/>
            <w:tcBorders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one"/>
          </w:tblBorders>
        </w:tblPrEx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10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8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one"/>
          </w:tblBorders>
        </w:tblPrEx>
        <w:tc>
          <w:tcPr>
            <w:tcW w:w="567" w:type="dxa"/>
            <w:tcBorders>
              <w:top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101" w:type="dxa"/>
            <w:tcBorders>
              <w:top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81" w:type="dxa"/>
            <w:tcBorders>
              <w:top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tooltip="    &lt;1&gt; Сведения о расходах представляются в случаях, установленных статьей" w:anchor="P289" w:history="0">
        <w:r>
          <w:rPr>
            <w:color w:val="0000ff"/>
            <w:sz w:val="20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424" w:type="dxa"/>
            <w:tcBorders>
              <w:top w:val="single" w:sz="4"/>
              <w:bottom w:val="none"/>
            </w:tcBorders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424" w:type="dxa"/>
            <w:tcBorders>
              <w:top w:val="single" w:sz="4"/>
              <w:bottom w:val="none"/>
            </w:tcBorders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24" w:type="dxa"/>
            <w:tcBorders>
              <w:top w:val="single" w:sz="4"/>
              <w:bottom w:val="none"/>
            </w:tcBorders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424" w:type="dxa"/>
            <w:tcBorders>
              <w:top w:val="single" w:sz="4"/>
              <w:bottom w:val="none"/>
            </w:tcBorders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424" w:type="dxa"/>
            <w:tcBorders>
              <w:top w:val="single" w:sz="4"/>
              <w:bottom w:val="none"/>
            </w:tcBorders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424" w:type="dxa"/>
            <w:tcBorders>
              <w:top w:val="single" w:sz="4"/>
              <w:bottom w:val="none"/>
            </w:tcBorders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7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2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7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0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r>
        <w:rPr>
          <w:sz w:val="20"/>
        </w:rPr>
        <w:t xml:space="preserve">3</w:t>
      </w:r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собственности </w:t>
            </w:r>
            <w:hyperlink w:tooltip="    &lt;1&gt; Указывается вид собственности (индивидуальная, долевая, общая); для" w:anchor="P407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и источник средств </w:t>
            </w:r>
            <w:hyperlink w:tooltip="    &lt;2&gt; Указываются   наименование   и   реквизиты  документа,  являющегося" w:anchor="P411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 </w:t>
            </w:r>
            <w:hyperlink w:tooltip="    &lt;3&gt;  Указывается вид земельного участка (пая, доли): под индивидуальное" w:anchor="P419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61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1932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61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3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0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r>
        <w:rPr>
          <w:sz w:val="20"/>
        </w:rPr>
        <w:t xml:space="preserve">частью 1 статьи 4</w:t>
      </w:r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собственности </w:t>
            </w:r>
            <w:hyperlink w:tooltip="    &lt;1&gt;   Указывается   вид   собственности  (индивидуальная,  общая);  для" w:anchor="P496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vMerge w:val="restart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0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  <w:tcBorders>
              <w:top w:val="single" w:sz="4"/>
              <w:bottom w:val="single" w:sz="4"/>
            </w:tcBorders>
          </w:tcPr>
          <w:p/>
        </w:tc>
        <w:tc>
          <w:tcPr>
            <w:tcW w:w="334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0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цифрового финансового актива или цифрового права </w:t>
            </w:r>
            <w:hyperlink w:tooltip="    &lt;1&gt;  Указываются  наименования  цифрового  финансового актива (если его" w:anchor="P526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tooltip="    &lt;2&gt;   Указываются  наименование  оператора  информационной  системы,  в" w:anchor="P533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Уникальное условное обозначение </w:t>
            </w:r>
            <w:hyperlink w:tooltip="    &lt;1&gt;   Указывается  уникальное  условное  обозначение,  идентифицирующее" w:anchor="P573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операторе инвестиционной платформы </w:t>
            </w:r>
            <w:hyperlink w:tooltip="    &lt;2&gt;  Указываются  наименование  оператора инвестиционной платформы, его" w:anchor="P575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валюта счета </w:t>
            </w:r>
            <w:hyperlink w:tooltip="    &lt;1&gt;  Указываются  вид счета (депозитный, текущий, расчетный и другие) и" w:anchor="P640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счете </w:t>
            </w:r>
            <w:hyperlink w:tooltip="    &lt;2&gt;  Остаток  на  счете указывается по состоянию на отчетную дату.  Для" w:anchor="P642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поступивших на счет денежных средств </w:t>
            </w:r>
            <w:hyperlink w:tooltip="    &lt;3&gt;   Указываются  суммы  денежных  средств, поступивших  на  счета  за" w:anchor="P645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  <w:r>
              <w:rPr>
                <w:sz w:val="24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 Указываются  суммы  денежных  средств,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доход лица,  его  супруги  (супруга)  и  несовершеннолетних  детей за</w:t>
      </w:r>
    </w:p>
    <w:p>
      <w:pPr>
        <w:pStyle w:val="1"/>
        <w:jc w:val="both"/>
      </w:pPr>
      <w:r>
        <w:rPr>
          <w:sz w:val="20"/>
        </w:rPr>
        <w:t xml:space="preserve">отчетный период и предшествующие два года.  Для счетов в иностранной валюте</w:t>
      </w:r>
    </w:p>
    <w:p>
      <w:pPr>
        <w:pStyle w:val="1"/>
        <w:jc w:val="both"/>
      </w:pPr>
      <w:r>
        <w:rPr>
          <w:sz w:val="20"/>
        </w:rPr>
        <w:t xml:space="preserve">суммы указываются в рублях по курсу Банка России на 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51" w:name="P651"/>
    <w:bookmarkEnd w:id="651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организационно-правовая форма организации </w:t>
            </w:r>
            <w:hyperlink w:tooltip="    &lt;1&gt;   Указываются  полное  или  сокращенное  официальное   наименование" w:anchor="P699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Уставный капитал </w:t>
            </w:r>
            <w:hyperlink w:tooltip="    &lt;2&gt;  Уставный  капитал  указывается  согласно учредительным  документам" w:anchor="P703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Доля участия </w:t>
            </w:r>
            <w:hyperlink w:tooltip="    &lt;3&gt;  Доля  участия  выражается  в процентах от уставного капитала.  Для" w:anchor="P707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участия </w:t>
            </w:r>
            <w:hyperlink w:tooltip="    &lt;4&gt;  Указываются  основание  приобретения  доли участия  (учредительный" w:anchor="P710" w:history="0">
              <w:r>
                <w:rPr>
                  <w:color w:val="0000ff"/>
                  <w:sz w:val="24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99" w:name="P699"/>
    <w:bookmarkEnd w:id="699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3" w:name="P703"/>
    <w:bookmarkEnd w:id="70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07" w:name="P707"/>
    <w:bookmarkEnd w:id="707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ценной бумаги </w:t>
            </w:r>
            <w:hyperlink w:tooltip="    &lt;1&gt; Указываются все  ценные  бумаги  по  видам  (облигации,  векселя  и" w:anchor="P771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стоимость </w:t>
            </w:r>
            <w:hyperlink w:tooltip="    &lt;2&gt;  Указывается  общая  стоимость ценных бумаг данного вида исходя  из" w:anchor="P774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  <w:r>
              <w:rPr>
                <w:sz w:val="24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tooltip="    Раздел 5. Сведения о ценных бумагах" w:anchor="P651" w:history="0">
        <w:r>
          <w:rPr>
            <w:color w:val="0000ff"/>
            <w:sz w:val="20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1" w:name="P771"/>
    <w:bookmarkEnd w:id="771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tooltip="    5.1. Акции и иное участие в коммерческих организациях и фондах" w:anchor="P653" w:history="0">
        <w:r>
          <w:rPr>
            <w:color w:val="0000ff"/>
            <w:sz w:val="20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tooltip="    &lt;1&gt; Указываются по состоянию на отчетную дату." w:anchor="P816" w:history="0">
        <w:r>
          <w:rPr>
            <w:color w:val="0000ff"/>
            <w:sz w:val="20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 </w:t>
            </w:r>
            <w:hyperlink w:tooltip="    &lt;2&gt;  Указывается  вид  недвижимого имущества (земельный участок,  жилой" w:anchor="P817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сроки пользования </w:t>
            </w:r>
            <w:hyperlink w:tooltip="    &lt;3&gt;  Указываются  вид пользования (аренда, безвозмездное пользование  и" w:anchor="P819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пользования </w:t>
            </w:r>
            <w:hyperlink w:tooltip="    &lt;4&gt;    Указываются   основание    пользования   (договор,   фактическое" w:anchor="P821" w:history="0">
              <w:r>
                <w:rPr>
                  <w:color w:val="0000ff"/>
                  <w:sz w:val="24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6" w:name="P816"/>
    <w:bookmarkEnd w:id="816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17" w:name="P817"/>
    <w:bookmarkEnd w:id="817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1" w:name="P821"/>
    <w:bookmarkEnd w:id="821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tooltip="    &lt;1&gt;  Указываются  имеющиеся  на  отчетную  дату  срочные  обязательства" w:anchor="P859" w:history="0">
        <w:r>
          <w:rPr>
            <w:color w:val="0000ff"/>
            <w:sz w:val="20"/>
          </w:rPr>
          <w:t xml:space="preserve">&lt;1&gt;</w:t>
        </w:r>
      </w:hyperlink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обязательства </w:t>
            </w:r>
            <w:hyperlink w:tooltip="    &lt;2&gt; Указывается существо обязательства (заем, кредит и другие)." w:anchor="P863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Кредитор (должник) </w:t>
            </w:r>
            <w:hyperlink w:tooltip="    &lt;3&gt;  Указывается  вторая  сторона обязательства: кредитор или  должник," w:anchor="P864" w:history="0">
              <w:r>
                <w:rPr>
                  <w:color w:val="0000ff"/>
                  <w:sz w:val="24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возникновения </w:t>
            </w:r>
            <w:hyperlink w:tooltip="    &lt;4&gt;   Указываются   основание   возникновения  обязательства,  а  также" w:anchor="P866" w:history="0">
              <w:r>
                <w:rPr>
                  <w:color w:val="0000ff"/>
                  <w:sz w:val="24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обязательства/размер обязательства по состоянию на отчетную дату </w:t>
            </w:r>
            <w:hyperlink w:tooltip="    &lt;5&gt;  Указываются сумма основного обязательства (без суммы процентов)  и" w:anchor="P868" w:history="0">
              <w:r>
                <w:rPr>
                  <w:color w:val="0000ff"/>
                  <w:sz w:val="24"/>
                </w:rPr>
                <w:t xml:space="preserve">&lt;5&gt;</w:t>
              </w:r>
            </w:hyperlink>
            <w:r>
              <w:rPr>
                <w:sz w:val="24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Условия обязательства </w:t>
            </w:r>
            <w:hyperlink w:tooltip="    &lt;6&gt;  Указываются годовая процентная ставка обязательства, заложенное  в" w:anchor="P872" w:history="0">
              <w:r>
                <w:rPr>
                  <w:color w:val="0000ff"/>
                  <w:sz w:val="24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59" w:name="P859"/>
    <w:bookmarkEnd w:id="859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3" w:name="P863"/>
    <w:bookmarkEnd w:id="863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4" w:name="P864"/>
    <w:bookmarkEnd w:id="864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68" w:name="P868"/>
    <w:bookmarkEnd w:id="868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2" w:name="P872"/>
    <w:bookmarkEnd w:id="872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Приобретатель имущества (права) по сделке </w:t>
            </w:r>
            <w:hyperlink w:tooltip="    &lt;1&gt;  Указываются  фамилия,  имя, отчество (при наличии), дата рождения," w:anchor="P1020" w:history="0">
              <w:r>
                <w:rPr>
                  <w:color w:val="0000ff"/>
                  <w:sz w:val="24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отчуждения имущества (права) </w:t>
            </w:r>
            <w:hyperlink w:tooltip="    &lt;2&gt; Указываются основания прекращения права собственности или цифрового" w:anchor="P1027" w:history="0">
              <w:r>
                <w:rPr>
                  <w:color w:val="0000ff"/>
                  <w:sz w:val="24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one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single" w:sz="4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366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none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91" w:type="dxa"/>
            <w:tcBorders>
              <w:top w:val="none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366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8" w:type="dxa"/>
            <w:tcBorders>
              <w:top w:val="none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0" w:name="P1020"/>
    <w:bookmarkEnd w:id="1020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27" w:name="P1027"/>
    <w:bookmarkEnd w:id="1027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23.06.2014 N 460</w:t>
            <w:br/>
            <w:t xml:space="preserve">(ред. от 25.01.2024)</w:t>
            <w:br/>
            <w:t xml:space="preserve"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23.06.2014 N 460</w:t>
            <w:br/>
            <w:t xml:space="preserve">(ред. от 25.01.2024)</w:t>
            <w:br/>
            <w:t xml:space="preserve"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cp:lastModifiedBy>krilova-sv</cp:lastModifiedBy>
  <dcterms:created xsi:type="dcterms:W3CDTF">2025-05-21T10:26:01Z</dcterms:created>
</cp:coreProperties>
</file>