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65" w:rsidRDefault="00501F6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01F65" w:rsidRDefault="00501F65">
      <w:pPr>
        <w:pStyle w:val="ConsPlusNormal"/>
        <w:jc w:val="both"/>
        <w:outlineLvl w:val="0"/>
      </w:pPr>
    </w:p>
    <w:p w:rsidR="00501F65" w:rsidRDefault="00501F6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01F65" w:rsidRDefault="00501F65">
      <w:pPr>
        <w:pStyle w:val="ConsPlusTitle"/>
        <w:jc w:val="center"/>
      </w:pPr>
    </w:p>
    <w:p w:rsidR="00501F65" w:rsidRDefault="00501F65">
      <w:pPr>
        <w:pStyle w:val="ConsPlusTitle"/>
        <w:jc w:val="center"/>
      </w:pPr>
      <w:r>
        <w:t>ПОСТАНОВЛЕНИЕ</w:t>
      </w:r>
    </w:p>
    <w:p w:rsidR="00501F65" w:rsidRDefault="00501F65">
      <w:pPr>
        <w:pStyle w:val="ConsPlusTitle"/>
        <w:jc w:val="center"/>
      </w:pPr>
      <w:r>
        <w:t>от 24 апреля 2014 г. N 368</w:t>
      </w:r>
    </w:p>
    <w:p w:rsidR="00501F65" w:rsidRDefault="00501F65">
      <w:pPr>
        <w:pStyle w:val="ConsPlusTitle"/>
        <w:jc w:val="center"/>
      </w:pPr>
    </w:p>
    <w:p w:rsidR="00501F65" w:rsidRDefault="00501F65">
      <w:pPr>
        <w:pStyle w:val="ConsPlusTitle"/>
        <w:jc w:val="center"/>
      </w:pPr>
      <w:r>
        <w:t>ОБ УТВЕРЖДЕНИИ ПРАВИЛ</w:t>
      </w:r>
    </w:p>
    <w:p w:rsidR="00501F65" w:rsidRDefault="00501F65">
      <w:pPr>
        <w:pStyle w:val="ConsPlusTitle"/>
        <w:jc w:val="center"/>
      </w:pPr>
      <w:r>
        <w:t>ПРЕДОСТАВЛЕНИЯ АНТИМОНОПОЛЬНЫМ ОРГАНОМ СОГЛАСИЯ</w:t>
      </w:r>
    </w:p>
    <w:p w:rsidR="00501F65" w:rsidRDefault="00501F65">
      <w:pPr>
        <w:pStyle w:val="ConsPlusTitle"/>
        <w:jc w:val="center"/>
      </w:pPr>
      <w:r>
        <w:t>НА ИЗМЕНЕНИЕ УСЛОВИЙ КОНЦЕССИОННОГО СОГЛАШЕНИЯ</w:t>
      </w:r>
    </w:p>
    <w:p w:rsidR="00501F65" w:rsidRDefault="00501F65">
      <w:pPr>
        <w:pStyle w:val="ConsPlusNormal"/>
        <w:jc w:val="center"/>
      </w:pPr>
      <w:r>
        <w:t>Список изменяющих документов</w:t>
      </w:r>
    </w:p>
    <w:p w:rsidR="00501F65" w:rsidRDefault="00501F65">
      <w:pPr>
        <w:pStyle w:val="ConsPlusNormal"/>
        <w:jc w:val="center"/>
      </w:pPr>
      <w:r>
        <w:t xml:space="preserve">(в ред. Постановлений Правительства РФ от 28.04.2015 </w:t>
      </w:r>
      <w:hyperlink r:id="rId5" w:history="1">
        <w:r>
          <w:rPr>
            <w:color w:val="0000FF"/>
          </w:rPr>
          <w:t>N 406</w:t>
        </w:r>
      </w:hyperlink>
      <w:r>
        <w:t>,</w:t>
      </w:r>
    </w:p>
    <w:p w:rsidR="00501F65" w:rsidRDefault="00501F65">
      <w:pPr>
        <w:pStyle w:val="ConsPlusNormal"/>
        <w:jc w:val="center"/>
      </w:pPr>
      <w:r>
        <w:t xml:space="preserve">от 15.11.2016 </w:t>
      </w:r>
      <w:hyperlink r:id="rId6" w:history="1">
        <w:r>
          <w:rPr>
            <w:color w:val="0000FF"/>
          </w:rPr>
          <w:t>N 1201</w:t>
        </w:r>
      </w:hyperlink>
      <w:r>
        <w:t>)</w:t>
      </w:r>
    </w:p>
    <w:p w:rsidR="00501F65" w:rsidRDefault="00501F65">
      <w:pPr>
        <w:pStyle w:val="ConsPlusNormal"/>
        <w:jc w:val="center"/>
      </w:pPr>
    </w:p>
    <w:p w:rsidR="00501F65" w:rsidRDefault="00501F65">
      <w:pPr>
        <w:pStyle w:val="ConsPlusNormal"/>
        <w:ind w:firstLine="540"/>
        <w:jc w:val="both"/>
      </w:pPr>
      <w:r>
        <w:t>В соответствии с Федеральным законом "О концессионных соглашениях" Правительство Российской Федерации постановляет:</w:t>
      </w:r>
    </w:p>
    <w:p w:rsidR="00501F65" w:rsidRDefault="00501F65">
      <w:pPr>
        <w:pStyle w:val="ConsPlusNormal"/>
        <w:jc w:val="both"/>
      </w:pPr>
      <w:r>
        <w:t xml:space="preserve">(преамбула 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 от 28.04.2015 N 406)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предоставления антимонопольным органом согласия на изменение условий концессионного соглашения.</w:t>
      </w:r>
    </w:p>
    <w:p w:rsidR="00501F65" w:rsidRDefault="00501F65">
      <w:pPr>
        <w:pStyle w:val="ConsPlusNormal"/>
        <w:ind w:firstLine="540"/>
        <w:jc w:val="both"/>
      </w:pPr>
    </w:p>
    <w:p w:rsidR="00501F65" w:rsidRDefault="00501F65">
      <w:pPr>
        <w:pStyle w:val="ConsPlusNormal"/>
        <w:jc w:val="right"/>
      </w:pPr>
      <w:r>
        <w:t>Председатель Правительства</w:t>
      </w:r>
    </w:p>
    <w:p w:rsidR="00501F65" w:rsidRDefault="00501F65">
      <w:pPr>
        <w:pStyle w:val="ConsPlusNormal"/>
        <w:jc w:val="right"/>
      </w:pPr>
      <w:r>
        <w:t>Российской Федерации</w:t>
      </w:r>
    </w:p>
    <w:p w:rsidR="00501F65" w:rsidRDefault="00501F65">
      <w:pPr>
        <w:pStyle w:val="ConsPlusNormal"/>
        <w:jc w:val="right"/>
      </w:pPr>
      <w:r>
        <w:t>Д.МЕДВЕДЕВ</w:t>
      </w:r>
    </w:p>
    <w:p w:rsidR="00501F65" w:rsidRDefault="00501F65">
      <w:pPr>
        <w:pStyle w:val="ConsPlusNormal"/>
        <w:ind w:firstLine="540"/>
        <w:jc w:val="both"/>
      </w:pPr>
    </w:p>
    <w:p w:rsidR="00501F65" w:rsidRDefault="00501F65">
      <w:pPr>
        <w:pStyle w:val="ConsPlusNormal"/>
        <w:ind w:firstLine="540"/>
        <w:jc w:val="both"/>
      </w:pPr>
    </w:p>
    <w:p w:rsidR="00501F65" w:rsidRDefault="00501F65">
      <w:pPr>
        <w:pStyle w:val="ConsPlusNormal"/>
        <w:ind w:firstLine="540"/>
        <w:jc w:val="both"/>
      </w:pPr>
    </w:p>
    <w:p w:rsidR="00501F65" w:rsidRDefault="00501F65">
      <w:pPr>
        <w:pStyle w:val="ConsPlusNormal"/>
        <w:ind w:firstLine="540"/>
        <w:jc w:val="both"/>
      </w:pPr>
    </w:p>
    <w:p w:rsidR="00501F65" w:rsidRDefault="00501F65">
      <w:pPr>
        <w:pStyle w:val="ConsPlusNormal"/>
        <w:ind w:firstLine="540"/>
        <w:jc w:val="both"/>
      </w:pPr>
    </w:p>
    <w:p w:rsidR="00501F65" w:rsidRDefault="00501F65">
      <w:pPr>
        <w:pStyle w:val="ConsPlusNormal"/>
        <w:jc w:val="right"/>
        <w:outlineLvl w:val="0"/>
      </w:pPr>
      <w:r>
        <w:t>Утверждены</w:t>
      </w:r>
    </w:p>
    <w:p w:rsidR="00501F65" w:rsidRDefault="00501F65">
      <w:pPr>
        <w:pStyle w:val="ConsPlusNormal"/>
        <w:jc w:val="right"/>
      </w:pPr>
      <w:r>
        <w:t>постановлением Правительства</w:t>
      </w:r>
    </w:p>
    <w:p w:rsidR="00501F65" w:rsidRDefault="00501F65">
      <w:pPr>
        <w:pStyle w:val="ConsPlusNormal"/>
        <w:jc w:val="right"/>
      </w:pPr>
      <w:r>
        <w:t>Российской Федерации</w:t>
      </w:r>
    </w:p>
    <w:p w:rsidR="00501F65" w:rsidRDefault="00501F65">
      <w:pPr>
        <w:pStyle w:val="ConsPlusNormal"/>
        <w:jc w:val="right"/>
      </w:pPr>
      <w:r>
        <w:t>от 24 апреля 2014 г. N 368</w:t>
      </w:r>
    </w:p>
    <w:p w:rsidR="00501F65" w:rsidRDefault="00501F65">
      <w:pPr>
        <w:pStyle w:val="ConsPlusNormal"/>
        <w:ind w:firstLine="540"/>
        <w:jc w:val="both"/>
      </w:pPr>
    </w:p>
    <w:p w:rsidR="00501F65" w:rsidRDefault="00501F65">
      <w:pPr>
        <w:pStyle w:val="ConsPlusTitle"/>
        <w:jc w:val="center"/>
      </w:pPr>
      <w:bookmarkStart w:id="0" w:name="P30"/>
      <w:bookmarkEnd w:id="0"/>
      <w:r>
        <w:t>ПРАВИЛА</w:t>
      </w:r>
    </w:p>
    <w:p w:rsidR="00501F65" w:rsidRDefault="00501F65">
      <w:pPr>
        <w:pStyle w:val="ConsPlusTitle"/>
        <w:jc w:val="center"/>
      </w:pPr>
      <w:r>
        <w:t>ПРЕДОСТАВЛЕНИЯ АНТИМОНОПОЛЬНЫМ ОРГАНОМ СОГЛАСИЯ</w:t>
      </w:r>
    </w:p>
    <w:p w:rsidR="00501F65" w:rsidRDefault="00501F65">
      <w:pPr>
        <w:pStyle w:val="ConsPlusTitle"/>
        <w:jc w:val="center"/>
      </w:pPr>
      <w:r>
        <w:t>НА ИЗМЕНЕНИЕ УСЛОВИЙ КОНЦЕССИОННОГО СОГЛАШЕНИЯ</w:t>
      </w:r>
    </w:p>
    <w:p w:rsidR="00501F65" w:rsidRDefault="00501F65">
      <w:pPr>
        <w:pStyle w:val="ConsPlusNormal"/>
        <w:jc w:val="center"/>
      </w:pPr>
      <w:r>
        <w:t>Список изменяющих документов</w:t>
      </w:r>
    </w:p>
    <w:p w:rsidR="00501F65" w:rsidRDefault="00501F65">
      <w:pPr>
        <w:pStyle w:val="ConsPlusNormal"/>
        <w:jc w:val="center"/>
      </w:pPr>
      <w:r>
        <w:t xml:space="preserve">(в ред. Постановлений Правительства РФ от 28.04.2015 </w:t>
      </w:r>
      <w:hyperlink r:id="rId8" w:history="1">
        <w:r>
          <w:rPr>
            <w:color w:val="0000FF"/>
          </w:rPr>
          <w:t>N 406</w:t>
        </w:r>
      </w:hyperlink>
      <w:r>
        <w:t>,</w:t>
      </w:r>
    </w:p>
    <w:p w:rsidR="00501F65" w:rsidRDefault="00501F65">
      <w:pPr>
        <w:pStyle w:val="ConsPlusNormal"/>
        <w:jc w:val="center"/>
      </w:pPr>
      <w:r>
        <w:t xml:space="preserve">от 15.11.2016 </w:t>
      </w:r>
      <w:hyperlink r:id="rId9" w:history="1">
        <w:r>
          <w:rPr>
            <w:color w:val="0000FF"/>
          </w:rPr>
          <w:t>N 1201</w:t>
        </w:r>
      </w:hyperlink>
      <w:r>
        <w:t>)</w:t>
      </w:r>
    </w:p>
    <w:p w:rsidR="00501F65" w:rsidRDefault="00501F65">
      <w:pPr>
        <w:pStyle w:val="ConsPlusNormal"/>
        <w:ind w:firstLine="540"/>
        <w:jc w:val="both"/>
      </w:pPr>
    </w:p>
    <w:p w:rsidR="00501F65" w:rsidRDefault="00501F65">
      <w:pPr>
        <w:pStyle w:val="ConsPlusNormal"/>
        <w:ind w:firstLine="540"/>
        <w:jc w:val="both"/>
      </w:pPr>
      <w:r>
        <w:t xml:space="preserve">1. Настоящие Правила определяют основания, по которым могут быть изменены существенные условия концессионного соглашения, в том числе основания, по которым может быть продлен срок действия концессионного соглашения, и порядок согласования антимонопольным органом таких изменений, в том числе продления срока действия концессионного соглашения, а также устанавливают порядок и условия получения согласия антимонопольного органа для изменения условий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в случаях, предусмотренных </w:t>
      </w:r>
      <w:hyperlink r:id="rId10" w:history="1">
        <w:r>
          <w:rPr>
            <w:color w:val="0000FF"/>
          </w:rPr>
          <w:t>частью 3.2 статьи 13</w:t>
        </w:r>
      </w:hyperlink>
      <w:r>
        <w:t xml:space="preserve"> Федерального закона "О концессионных соглашениях" (далее - согласование изменений условий концессионного соглашения).</w:t>
      </w:r>
    </w:p>
    <w:p w:rsidR="00501F65" w:rsidRDefault="00501F65">
      <w:pPr>
        <w:pStyle w:val="ConsPlusNormal"/>
        <w:jc w:val="both"/>
      </w:pPr>
      <w:r>
        <w:t xml:space="preserve">(п. 1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28.04.2015 N 406)</w:t>
      </w:r>
    </w:p>
    <w:p w:rsidR="00501F65" w:rsidRDefault="00501F65">
      <w:pPr>
        <w:pStyle w:val="ConsPlusNormal"/>
        <w:spacing w:before="220"/>
        <w:ind w:firstLine="540"/>
        <w:jc w:val="both"/>
      </w:pPr>
      <w:bookmarkStart w:id="1" w:name="P39"/>
      <w:bookmarkEnd w:id="1"/>
      <w:r>
        <w:lastRenderedPageBreak/>
        <w:t>2. Согласование изменений условий концессионного соглашения осуществляется при наличии следующих оснований: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>а) возникновение обстоятельств непреодолимой силы;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>б) вступление в силу нормативных правовых актов Российской Федерации, субъектов Российской Федерации, органов местного самоуправления, в связи с которыми: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>стороны концессионного соглашения оказываются неспособными выполнить принятые на себя обязательства;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>ухудшается положение концессионера по сравнению с тем положением, в котором он находился на момент заключения концессионного соглашения, в результате чего концессионер в значительной степени лишается того, на что был вправе рассчитывать при заключении концессионного соглашения, в том числе в связи с увеличением совокупной налоговой нагрузки, установлением режима запретов и ограничений в отношении концессионера;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>в) вступление в законную силу решения суда или федерального антимонопольного органа, которым установлена невозможность исполнения концессионером или концедентом установленных концессионным соглашением обязательств вследствие решений, действий (бездействия) государственных органов, органов местного самоуправления и (или) их должностных лиц;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>г) внесение в установленном порядке изменений в схемы теплоснабжения, водоснабжения, водоотведения, в связи с которыми стороны оказываются не способными выполнить принятые обязательства (в случае если предметом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систем);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>д) установление регулируемых цен (тарифов), надбавок к ценам (тарифам), по которым концессионер предоставляет потребителям товары, работы, услуги, с применением долгосрочных параметров регулирования деятельности концессионера, которые не соответствуют таким параметрам, предусмотренным концессионным соглашением.</w:t>
      </w:r>
    </w:p>
    <w:p w:rsidR="00501F65" w:rsidRDefault="00501F65">
      <w:pPr>
        <w:pStyle w:val="ConsPlusNormal"/>
        <w:jc w:val="both"/>
      </w:pPr>
      <w:r>
        <w:t xml:space="preserve">(п. 2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28.04.2015 N 406)</w:t>
      </w:r>
    </w:p>
    <w:p w:rsidR="00501F65" w:rsidRDefault="00501F65">
      <w:pPr>
        <w:pStyle w:val="ConsPlusNormal"/>
        <w:spacing w:before="220"/>
        <w:ind w:firstLine="540"/>
        <w:jc w:val="both"/>
      </w:pPr>
      <w:bookmarkStart w:id="2" w:name="P48"/>
      <w:bookmarkEnd w:id="2"/>
      <w:r>
        <w:t xml:space="preserve">3. В случае если концедентом по концессионному соглашению является Российская Федерация и условия концессионного соглашения изменяются на основании акта Правительства Российской Федерации, проект такого акта согласовывается с Федеральной антимонопольной службой в порядке, установленном </w:t>
      </w:r>
      <w:hyperlink r:id="rId13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"О Регламенте Правительства Российской Федерации и Положении об Аппарате Правительства Российской Федерации", и согласование изменений условий концессионного соглашения в соответствии с настоящими Правилами не требуется.</w:t>
      </w:r>
    </w:p>
    <w:p w:rsidR="00501F65" w:rsidRDefault="00501F6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28.04.2015 N 406)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 xml:space="preserve"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 и концедентом по этому концессионному соглашению является Российская Федерация, от имени которой выступает Правительство Российской Федерации или уполномоченный им федеральный орган исполнительной власти, заявление о согласовании изменений условий концессионного соглашения (далее - заявление) подлежит рассмотрению в Федеральной антимонопольной службе, за исключением случая, установленного </w:t>
      </w:r>
      <w:hyperlink w:anchor="P48" w:history="1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501F65" w:rsidRDefault="00501F65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28.04.2015 N 406)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 xml:space="preserve">4. В случае если концедентом по концессионному соглашению является субъект Российской </w:t>
      </w:r>
      <w:r>
        <w:lastRenderedPageBreak/>
        <w:t>Федерации, от имени которого выступает орган государственной власти субъекта Российской Федерации, либо муниципальное образование, от имени которого выступает орган местного самоуправления, заявление  подлежит рассмотрению в территориальном органе Федеральной антимонопольной службы по месту нахождения концедента.</w:t>
      </w:r>
    </w:p>
    <w:p w:rsidR="00501F65" w:rsidRDefault="00501F65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28.04.2015 N 406)</w:t>
      </w:r>
    </w:p>
    <w:p w:rsidR="00501F65" w:rsidRDefault="00501F65">
      <w:pPr>
        <w:pStyle w:val="ConsPlusNormal"/>
        <w:spacing w:before="220"/>
        <w:ind w:firstLine="540"/>
        <w:jc w:val="both"/>
      </w:pPr>
      <w:bookmarkStart w:id="3" w:name="P54"/>
      <w:bookmarkEnd w:id="3"/>
      <w:r>
        <w:t>5. Для согласования изменений условий концессионного соглашения заявитель (концедент или концессионер) предоставляет в антимонопольный орган: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>а) заявление (один экземпляр);</w:t>
      </w:r>
    </w:p>
    <w:p w:rsidR="00501F65" w:rsidRDefault="00501F65">
      <w:pPr>
        <w:pStyle w:val="ConsPlusNormal"/>
        <w:jc w:val="both"/>
      </w:pPr>
      <w:r>
        <w:t xml:space="preserve">(пп. "а"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28.04.2015 N 406)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>б) текст изменений, предлагаемых к внесению в концессионное соглашение, согласованный концедентом и концессионером;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>в) обоснование необходимости изменения условий концессионного соглашения с приложением подтверждающих материалов и документов;</w:t>
      </w:r>
    </w:p>
    <w:p w:rsidR="00501F65" w:rsidRDefault="00501F65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28.04.2015 N 406)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>г) решение концедента о заключении концессионного соглашения;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>д) концессионное соглашение;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>е) конкурсную документацию;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>ж) конкурсное предложение концессионера;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>з) предварительное согласие органа исполнительной власти или органа местного самоуправления, осуществляющих регулирование цен (тарифов) в соответствии с законодательством Российской Федерации в сфере регулирования цен (тарифов), полученное в порядке, установленном нормативными правовыми актами Российской Федерации в области регулирования тарифов в сфере теплоснабжения, водоснабжения и водоотведения, - в случае, если согласие испрашивается на изменение значения долгосрочных параметров регулирования деятельности концессионера (долгосрочных параметров регулирования тарифов, определенных в соответствии с нормативными правовыми актами Российской Федерации в сфере водоснабжения и водоотведения или долгосрочных параметров государственного регулирования цен (тарифов) в сфере теплоснабжения, определенных в соответствии с нормативными правовыми актами Российской Федерации в сфере теплоснабжения).</w:t>
      </w:r>
    </w:p>
    <w:p w:rsidR="00501F65" w:rsidRDefault="00501F65">
      <w:pPr>
        <w:pStyle w:val="ConsPlusNormal"/>
        <w:spacing w:before="220"/>
        <w:ind w:firstLine="540"/>
        <w:jc w:val="both"/>
      </w:pPr>
      <w:bookmarkStart w:id="4" w:name="P65"/>
      <w:bookmarkEnd w:id="4"/>
      <w:r>
        <w:t>6. Заявление должно содержать:</w:t>
      </w:r>
    </w:p>
    <w:p w:rsidR="00501F65" w:rsidRDefault="00501F65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28.04.2015 N 406)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>а) полное и краткое наименование заявителя;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>б) адрес места нахождения, почтовый адрес, номера телефонов и факса заявителя;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>в) краткое изложение существа обращения;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>г) перечень прилагаемых к заявлению документов с указанием количества листов и экземпляров.</w:t>
      </w:r>
    </w:p>
    <w:p w:rsidR="00501F65" w:rsidRDefault="00501F65">
      <w:pPr>
        <w:pStyle w:val="ConsPlusNormal"/>
        <w:spacing w:before="220"/>
        <w:ind w:firstLine="540"/>
        <w:jc w:val="both"/>
      </w:pPr>
      <w:bookmarkStart w:id="5" w:name="P71"/>
      <w:bookmarkEnd w:id="5"/>
      <w:r>
        <w:t>7. Документы, представленные в антимонопольный орган вместе с заявлением, должны быть заверены подписью руководителя или иного уполномоченного лица заявителя и печатью заявителя (при наличии печати).</w:t>
      </w:r>
    </w:p>
    <w:p w:rsidR="00501F65" w:rsidRDefault="00501F65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15.11.2016 N 1201)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 xml:space="preserve">8. Заявление с приложенными к нему документами подлежит регистрации в </w:t>
      </w:r>
      <w:r>
        <w:lastRenderedPageBreak/>
        <w:t>антимонопольном органе в установленном порядке.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 xml:space="preserve">9. В случае несоответствия заявления и документов требованиям </w:t>
      </w:r>
      <w:hyperlink w:anchor="P65" w:history="1">
        <w:r>
          <w:rPr>
            <w:color w:val="0000FF"/>
          </w:rPr>
          <w:t>пунктов 6</w:t>
        </w:r>
      </w:hyperlink>
      <w:r>
        <w:t xml:space="preserve"> и </w:t>
      </w:r>
      <w:hyperlink w:anchor="P71" w:history="1">
        <w:r>
          <w:rPr>
            <w:color w:val="0000FF"/>
          </w:rPr>
          <w:t>7</w:t>
        </w:r>
      </w:hyperlink>
      <w:r>
        <w:t xml:space="preserve"> настоящих Правил, а также непредставления или представления не всех документов, указанных в </w:t>
      </w:r>
      <w:hyperlink w:anchor="P54" w:history="1">
        <w:r>
          <w:rPr>
            <w:color w:val="0000FF"/>
          </w:rPr>
          <w:t>пункте 5</w:t>
        </w:r>
      </w:hyperlink>
      <w:r>
        <w:t xml:space="preserve"> настоящих Правил, заявление подлежит возврату заявителю в течение 7 рабочих дней со дня регистрации в антимонопольном органе с указанием причин возврата.</w:t>
      </w:r>
    </w:p>
    <w:p w:rsidR="00501F65" w:rsidRDefault="00501F65">
      <w:pPr>
        <w:pStyle w:val="ConsPlusNormal"/>
        <w:spacing w:before="220"/>
        <w:ind w:firstLine="540"/>
        <w:jc w:val="both"/>
      </w:pPr>
      <w:bookmarkStart w:id="6" w:name="P75"/>
      <w:bookmarkEnd w:id="6"/>
      <w:r>
        <w:t xml:space="preserve">10. Заявление и документы, поступившие в антимонопольный орган, рассматриваются в срок не более 30 дней со дня регистрации. В случае, предусмотренном </w:t>
      </w:r>
      <w:hyperlink w:anchor="P76" w:history="1">
        <w:r>
          <w:rPr>
            <w:color w:val="0000FF"/>
          </w:rPr>
          <w:t>пунктом 11</w:t>
        </w:r>
      </w:hyperlink>
      <w:r>
        <w:t xml:space="preserve"> настоящих Правил, срок их рассмотрения может быть продлен руководителем антимонопольного органа не более чем на 15 дней. О продлении срока рассмотрения заявления антимонопольный орган уведомляет в письменной форме заявителя.</w:t>
      </w:r>
    </w:p>
    <w:p w:rsidR="00501F65" w:rsidRDefault="00501F65">
      <w:pPr>
        <w:pStyle w:val="ConsPlusNormal"/>
        <w:spacing w:before="220"/>
        <w:ind w:firstLine="540"/>
        <w:jc w:val="both"/>
      </w:pPr>
      <w:bookmarkStart w:id="7" w:name="P76"/>
      <w:bookmarkEnd w:id="7"/>
      <w:r>
        <w:t>11. В целях рассмотрения заявления с приложенными к нему документами антимонопольным органом могут направляться запросы, привлекаться эксперты, а также проводиться анализ состояния конкуренции на соответствующем рынке услуг.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>12. По результатам рассмотрения заявления с приложенными к нему документами антимонопольный орган принимает одно из следующих решений: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>а) о согласовании изменений условий концессионного соглашения;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>б) об отказе в согласовании изменений условий концессионного соглашения с указанием причин такого отказа.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 xml:space="preserve">13. Решение о согласовании изменений условий концессионного соглашения или об отказе в таком согласовании антимонопольный орган направляет заявителю в пределах срока, установленного </w:t>
      </w:r>
      <w:hyperlink w:anchor="P75" w:history="1">
        <w:r>
          <w:rPr>
            <w:color w:val="0000FF"/>
          </w:rPr>
          <w:t>пунктом 10</w:t>
        </w:r>
      </w:hyperlink>
      <w:r>
        <w:t xml:space="preserve"> настоящих Правил.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>14. Антимонопольный орган отказывает в согласовании изменений условий концессионного соглашения при установлении одного из следующих случаев: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>а) если со дня заключения концессионного соглашения и до дня регистрации в антимонопольном органе заявления прошло менее одного года (в случае если предметом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систем);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 xml:space="preserve">б) если представленные документы не подтверждают возникновение оснований, указанных в </w:t>
      </w:r>
      <w:hyperlink w:anchor="P39" w:history="1">
        <w:r>
          <w:rPr>
            <w:color w:val="0000FF"/>
          </w:rPr>
          <w:t>пункте 2</w:t>
        </w:r>
      </w:hyperlink>
      <w:r>
        <w:t xml:space="preserve"> настоящих Правил;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>в) если размер расходов концессионера на создание и (или) реконструкцию объекта концессионного соглашения, определенный на основании конкурсного предложения концессионера и установленный в концессионном соглашении, подлежит уменьшению;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>г) если объем расходов, финансируемых за счет средств концедента, на использование (эксплуатацию) объекта концессионного соглашения на каждый год срока действия концессионного соглашения в случае, если решением о заключении концессионного соглашения и (или) конкурсной документацией предусмотрено принятие концедентом на себя расходов на использование (эксплуатацию) этого объекта, подлежит увеличению (в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систем);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 xml:space="preserve">д) если ухудшаются плановые значения показателей надежности, качества, энергетической эффективности объектов централизованных систем горячего водоснабжения, холодного </w:t>
      </w:r>
      <w:r>
        <w:lastRenderedPageBreak/>
        <w:t>водоснабжения и (или) водоотведения, плановые значения показателей надежности и энергетической эффективности объектов теплоснабжения, плановые значения иных предусмотренных концессионным соглашением технико-экономических показателей этих систем и (или) объектов.</w:t>
      </w:r>
    </w:p>
    <w:p w:rsidR="00501F65" w:rsidRDefault="00501F65">
      <w:pPr>
        <w:pStyle w:val="ConsPlusNormal"/>
        <w:jc w:val="both"/>
      </w:pPr>
      <w:r>
        <w:t xml:space="preserve">(п. 14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28.04.2015 N 406)</w:t>
      </w:r>
    </w:p>
    <w:p w:rsidR="00501F65" w:rsidRDefault="00501F65">
      <w:pPr>
        <w:pStyle w:val="ConsPlusNormal"/>
        <w:spacing w:before="220"/>
        <w:ind w:firstLine="540"/>
        <w:jc w:val="both"/>
      </w:pPr>
      <w:r>
        <w:t>15. Решение антимонопольного органа может быть обжаловано в судебном порядке.</w:t>
      </w:r>
    </w:p>
    <w:p w:rsidR="00501F65" w:rsidRDefault="00501F65">
      <w:pPr>
        <w:pStyle w:val="ConsPlusNormal"/>
        <w:ind w:firstLine="540"/>
        <w:jc w:val="both"/>
      </w:pPr>
    </w:p>
    <w:p w:rsidR="00501F65" w:rsidRDefault="00501F65">
      <w:pPr>
        <w:pStyle w:val="ConsPlusNormal"/>
        <w:ind w:firstLine="540"/>
        <w:jc w:val="both"/>
      </w:pPr>
    </w:p>
    <w:p w:rsidR="00501F65" w:rsidRDefault="00501F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14CF" w:rsidRDefault="00B914CF"/>
    <w:sectPr w:rsidR="00B914CF" w:rsidSect="006F6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defaultTabStop w:val="708"/>
  <w:characterSpacingControl w:val="doNotCompress"/>
  <w:compat/>
  <w:rsids>
    <w:rsidRoot w:val="00501F65"/>
    <w:rsid w:val="00501F65"/>
    <w:rsid w:val="006D2B85"/>
    <w:rsid w:val="00B9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1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1F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1F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47537B7FAA09FA695E2EB5DBC41CA99DD1BA4B192A1E4B194BB3A18AAEAFA4FE6FE57E1A8186CCC4A6J" TargetMode="External"/><Relationship Id="rId13" Type="http://schemas.openxmlformats.org/officeDocument/2006/relationships/hyperlink" Target="consultantplus://offline/ref=7147537B7FAA09FA695E2EB5DBC41CA99ED1BB4B1E2B1E4B194BB3A18AAEAFA4FE6FE57E1A8186CCC4A0J" TargetMode="External"/><Relationship Id="rId18" Type="http://schemas.openxmlformats.org/officeDocument/2006/relationships/hyperlink" Target="consultantplus://offline/ref=7147537B7FAA09FA695E2EB5DBC41CA99DD1BA4B192A1E4B194BB3A18AAEAFA4FE6FE57E1A8186CEC4A7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147537B7FAA09FA695E2EB5DBC41CA99DD1BA4B192A1E4B194BB3A18AAEAFA4FE6FE57E1A8186CEC4A5J" TargetMode="External"/><Relationship Id="rId7" Type="http://schemas.openxmlformats.org/officeDocument/2006/relationships/hyperlink" Target="consultantplus://offline/ref=7147537B7FAA09FA695E2EB5DBC41CA99DD1BA4B192A1E4B194BB3A18AAEAFA4FE6FE57E1A8186CDC4AEJ" TargetMode="External"/><Relationship Id="rId12" Type="http://schemas.openxmlformats.org/officeDocument/2006/relationships/hyperlink" Target="consultantplus://offline/ref=7147537B7FAA09FA695E2EB5DBC41CA99DD1BA4B192A1E4B194BB3A18AAEAFA4FE6FE57E1A8186CCC4A3J" TargetMode="External"/><Relationship Id="rId17" Type="http://schemas.openxmlformats.org/officeDocument/2006/relationships/hyperlink" Target="consultantplus://offline/ref=7147537B7FAA09FA695E2EB5DBC41CA99DD1BA4B192A1E4B194BB3A18AAEAFA4FE6FE57E1A8186CFC4AF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147537B7FAA09FA695E2EB5DBC41CA99DD1BA4B192A1E4B194BB3A18AAEAFA4FE6FE57E1A8186CFC4A1J" TargetMode="External"/><Relationship Id="rId20" Type="http://schemas.openxmlformats.org/officeDocument/2006/relationships/hyperlink" Target="consultantplus://offline/ref=7147537B7FAA09FA695E2EB5DBC41CA99ED6B5411F201E4B194BB3A18AAEAFA4FE6FE57E1A8186CDC4A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47537B7FAA09FA695E2EB5DBC41CA99ED6B5411F201E4B194BB3A18AAEAFA4FE6FE57E1A8186CDC4A2J" TargetMode="External"/><Relationship Id="rId11" Type="http://schemas.openxmlformats.org/officeDocument/2006/relationships/hyperlink" Target="consultantplus://offline/ref=7147537B7FAA09FA695E2EB5DBC41CA99DD1BA4B192A1E4B194BB3A18AAEAFA4FE6FE57E1A8186CCC4A5J" TargetMode="External"/><Relationship Id="rId5" Type="http://schemas.openxmlformats.org/officeDocument/2006/relationships/hyperlink" Target="consultantplus://offline/ref=7147537B7FAA09FA695E2EB5DBC41CA99DD1BA4B192A1E4B194BB3A18AAEAFA4FE6FE57E1A8186CDC4A2J" TargetMode="External"/><Relationship Id="rId15" Type="http://schemas.openxmlformats.org/officeDocument/2006/relationships/hyperlink" Target="consultantplus://offline/ref=7147537B7FAA09FA695E2EB5DBC41CA99DD1BA4B192A1E4B194BB3A18AAEAFA4FE6FE57E1A8186CFC4A3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147537B7FAA09FA695E2EB5DBC41CA99ED4B347192D1E4B194BB3A18AAEAFA4FE6FE57AC1AEJ" TargetMode="External"/><Relationship Id="rId19" Type="http://schemas.openxmlformats.org/officeDocument/2006/relationships/hyperlink" Target="consultantplus://offline/ref=7147537B7FAA09FA695E2EB5DBC41CA99DD1BA4B192A1E4B194BB3A18AAEAFA4FE6FE57E1A8186CEC4A6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147537B7FAA09FA695E2EB5DBC41CA99ED6B5411F201E4B194BB3A18AAEAFA4FE6FE57E1A8186CDC4A2J" TargetMode="External"/><Relationship Id="rId14" Type="http://schemas.openxmlformats.org/officeDocument/2006/relationships/hyperlink" Target="consultantplus://offline/ref=7147537B7FAA09FA695E2EB5DBC41CA99DD1BA4B192A1E4B194BB3A18AAEAFA4FE6FE57E1A8186CFC4A4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2079</Words>
  <Characters>11851</Characters>
  <Application>Microsoft Office Word</Application>
  <DocSecurity>0</DocSecurity>
  <Lines>98</Lines>
  <Paragraphs>27</Paragraphs>
  <ScaleCrop>false</ScaleCrop>
  <Company/>
  <LinksUpToDate>false</LinksUpToDate>
  <CharactersWithSpaces>13903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lobaeva-av</dc:creator>
  <cp:lastModifiedBy>lobaeva-av</cp:lastModifiedBy>
  <cp:revision>1</cp:revision>
  <dcterms:created xsi:type="dcterms:W3CDTF">2017-10-26T09:00:00Z</dcterms:created>
  <dcterms:modified xsi:type="dcterms:W3CDTF">2017-10-26T09:00:00Z</dcterms:modified>
</cp:coreProperties>
</file>