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802640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;o:allowoverlap:true;o:allowincell:true;mso-position-horizontal-relative:text;margin-left:106.70pt;mso-position-horizontal:absolute;mso-position-vertical-relative:text;margin-top:63.2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4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4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ind w:right="5387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Об утверждении муниципальной программы «Управление муниципальным имуществом города Перми»</w:t>
      </w: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</w:t>
      </w:r>
      <w:r>
        <w:rPr>
          <w:rFonts w:eastAsia="Calibri"/>
          <w:sz w:val="28"/>
          <w:szCs w:val="28"/>
          <w:lang w:eastAsia="en-US"/>
        </w:rPr>
        <w:t xml:space="preserve">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__________ 2024 г. № ____</w:t>
      </w:r>
      <w:r>
        <w:rPr>
          <w:rFonts w:eastAsia="Calibri"/>
          <w:sz w:val="28"/>
          <w:szCs w:val="28"/>
          <w:lang w:eastAsia="en-US"/>
        </w:rPr>
        <w:t xml:space="preserve">_«</w:t>
      </w:r>
      <w:r>
        <w:rPr>
          <w:rFonts w:eastAsia="Calibri"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города Перми»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прилагаемую муниципальную программу «Управление муниципальным имуществом города Перми».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утратившими силу постановления администрации города Перми: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15 октября 2021 г. № 875 «Об утверждении муниципальной программы «Управление муниципальным имуществом города Перми»;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23 декабря 2021 № 1196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 марта 2022 № 199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12 октября 2022 № 931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20 октября 2022 № 1029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 декабря 2022 № 1333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23 января 2023 № 35 «О внесении изменений в муниципальную программу «Управление муниципальным имуществом города Перми»,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20 апреля 2023 № 323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04 августа 2023 № 663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875».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01 января 2025 г.</w:t>
      </w:r>
      <w:r>
        <w:rPr>
          <w:sz w:val="28"/>
          <w:szCs w:val="28"/>
        </w:rPr>
        <w:t xml:space="preserve"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на официальном сайте муниципального образования город Пермь в информационно-телекоммуникационной сети Интернет.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на первого заместителя главы администрации города Перми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Андрианову О.Н.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709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lang w:eastAsia="en-US"/>
        </w:rPr>
        <w:sectPr>
          <w:footnotePr/>
          <w:endnotePr/>
          <w:type w:val="continuous"/>
          <w:pgSz w:w="11906" w:h="16838" w:orient="portrait"/>
          <w:pgMar w:top="1134" w:right="567" w:bottom="709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59" w:lineRule="auto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59" w:lineRule="auto"/>
        <w:rPr>
          <w:b/>
          <w:sz w:val="28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«Управление муниципальным имуществом города Перми»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jc w:val="center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tbl>
      <w:tblPr>
        <w:tblW w:w="14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1"/>
        <w:gridCol w:w="414"/>
        <w:gridCol w:w="2779"/>
        <w:gridCol w:w="815"/>
        <w:gridCol w:w="1101"/>
        <w:gridCol w:w="1164"/>
        <w:gridCol w:w="1414"/>
        <w:gridCol w:w="1663"/>
        <w:gridCol w:w="1663"/>
        <w:gridCol w:w="1665"/>
      </w:tblGrid>
      <w:tr>
        <w:tblPrEx/>
        <w:trPr>
          <w:trHeight w:val="502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textDirection w:val="lrTb"/>
            <w:noWrap w:val="false"/>
          </w:tcPr>
          <w:p>
            <w:r>
              <w:t xml:space="preserve">Куратор</w:t>
            </w:r>
            <w:r/>
          </w:p>
          <w:p>
            <w:r>
              <w:t xml:space="preserve">программы</w:t>
            </w:r>
            <w:r/>
          </w:p>
        </w:tc>
        <w:tc>
          <w:tcPr>
            <w:gridSpan w:val="9"/>
            <w:tcMar>
              <w:left w:w="7" w:type="dxa"/>
              <w:top w:w="12" w:type="dxa"/>
              <w:right w:w="7" w:type="dxa"/>
              <w:bottom w:w="12" w:type="dxa"/>
            </w:tcMar>
            <w:tcW w:w="12678" w:type="dxa"/>
            <w:textDirection w:val="lrTb"/>
            <w:noWrap w:val="false"/>
          </w:tcPr>
          <w:p>
            <w:pPr>
              <w:pStyle w:val="7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Андрианова О.Н., первый заместитель главы администрации города Перми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67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textDirection w:val="lrTb"/>
            <w:noWrap w:val="false"/>
          </w:tcPr>
          <w:p>
            <w:r>
              <w:t xml:space="preserve">Ответственный исполнитель программы </w:t>
            </w:r>
            <w:r/>
          </w:p>
        </w:tc>
        <w:tc>
          <w:tcPr>
            <w:gridSpan w:val="9"/>
            <w:tcMar>
              <w:left w:w="7" w:type="dxa"/>
              <w:top w:w="12" w:type="dxa"/>
              <w:right w:w="7" w:type="dxa"/>
              <w:bottom w:w="12" w:type="dxa"/>
            </w:tcMar>
            <w:tcW w:w="12678" w:type="dxa"/>
            <w:textDirection w:val="lrTb"/>
            <w:noWrap w:val="false"/>
          </w:tcPr>
          <w:p>
            <w:r>
              <w:t xml:space="preserve">Хаткевич А.А., начальник департамента имущественных отношений администрации города Перми</w:t>
            </w:r>
            <w:r/>
          </w:p>
        </w:tc>
      </w:tr>
      <w:tr>
        <w:tblPrEx/>
        <w:trPr>
          <w:trHeight w:val="37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textDirection w:val="lrTb"/>
            <w:noWrap w:val="false"/>
          </w:tcPr>
          <w:p>
            <w:r>
              <w:t xml:space="preserve">Период реализации программы </w:t>
            </w:r>
            <w:r/>
          </w:p>
        </w:tc>
        <w:tc>
          <w:tcPr>
            <w:gridSpan w:val="9"/>
            <w:tcMar>
              <w:left w:w="7" w:type="dxa"/>
              <w:top w:w="12" w:type="dxa"/>
              <w:right w:w="7" w:type="dxa"/>
              <w:bottom w:w="12" w:type="dxa"/>
            </w:tcMar>
            <w:tcW w:w="12678" w:type="dxa"/>
            <w:textDirection w:val="lrTb"/>
            <w:noWrap w:val="false"/>
          </w:tcPr>
          <w:p>
            <w:r>
              <w:t xml:space="preserve">2025-2029 годы</w:t>
            </w:r>
            <w:r/>
          </w:p>
        </w:tc>
      </w:tr>
      <w:tr>
        <w:tblPrEx/>
        <w:trPr>
          <w:trHeight w:val="1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textDirection w:val="lrTb"/>
            <w:noWrap w:val="false"/>
          </w:tcPr>
          <w:p>
            <w:r>
              <w:t xml:space="preserve">Цели программы </w:t>
            </w:r>
            <w:r/>
          </w:p>
        </w:tc>
        <w:tc>
          <w:tcPr>
            <w:gridSpan w:val="9"/>
            <w:tcMar>
              <w:left w:w="7" w:type="dxa"/>
              <w:top w:w="12" w:type="dxa"/>
              <w:right w:w="7" w:type="dxa"/>
              <w:bottom w:w="12" w:type="dxa"/>
            </w:tcMar>
            <w:tcW w:w="12678" w:type="dxa"/>
            <w:textDirection w:val="lrTb"/>
            <w:noWrap w:val="false"/>
          </w:tcPr>
          <w:p>
            <w:pPr>
              <w:jc w:val="both"/>
            </w:pPr>
            <w:r>
              <w:t xml:space="preserve">Повышение эффективности управления муниципальным имуществом</w:t>
            </w:r>
            <w:r/>
          </w:p>
        </w:tc>
      </w:tr>
      <w:tr>
        <w:tblPrEx/>
        <w:trPr>
          <w:trHeight w:val="46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vMerge w:val="restart"/>
            <w:textDirection w:val="lrTb"/>
            <w:noWrap w:val="false"/>
          </w:tcPr>
          <w:p>
            <w:r>
              <w:t xml:space="preserve">Целевые показатели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77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целевого 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670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целевых показателей</w:t>
            </w:r>
            <w:r/>
          </w:p>
        </w:tc>
      </w:tr>
      <w:tr>
        <w:tblPrEx/>
        <w:trPr>
          <w:trHeight w:val="461"/>
        </w:trPr>
        <w:tc>
          <w:tcPr>
            <w:tcW w:w="18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2265" w:type="dxa"/>
            <w:textDirection w:val="lrTb"/>
            <w:noWrap w:val="false"/>
          </w:tcPr>
          <w:p>
            <w:pPr>
              <w:jc w:val="center"/>
            </w:pPr>
            <w:r>
              <w:t xml:space="preserve"> 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4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202"/>
        </w:trPr>
        <w:tc>
          <w:tcPr>
            <w:tcW w:w="18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1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779" w:type="dxa"/>
            <w:textDirection w:val="lrTb"/>
            <w:noWrap w:val="false"/>
          </w:tcPr>
          <w:p>
            <w:r>
              <w:t xml:space="preserve">Объем неналоговых доходов бюджета города Перми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</w:pPr>
            <w:r>
              <w:t xml:space="preserve">тыс.руб</w:t>
            </w:r>
            <w:r>
              <w:t xml:space="preserve">.</w:t>
            </w:r>
            <w:r/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2265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156 832</w:t>
            </w:r>
            <w:r>
              <w:t xml:space="preserve">,2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4" w:type="dxa"/>
            <w:textDirection w:val="lrTb"/>
            <w:noWrap w:val="false"/>
          </w:tcPr>
          <w:p>
            <w:pPr>
              <w:jc w:val="center"/>
            </w:pPr>
            <w:r>
              <w:t xml:space="preserve">148 253,1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128 149,4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131 693,0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</w:pPr>
            <w:r>
              <w:t xml:space="preserve">131 996,0</w:t>
            </w:r>
            <w:r/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vMerge w:val="restart"/>
            <w:textDirection w:val="lrTb"/>
            <w:noWrap w:val="false"/>
          </w:tcPr>
          <w:p>
            <w:r>
              <w:t xml:space="preserve">Объемы и источники финансового обеспечения программы </w:t>
            </w:r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40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670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 </w:t>
            </w:r>
            <w:r>
              <w:rPr>
                <w:vertAlign w:val="superscript"/>
              </w:rPr>
              <w:t xml:space="preserve">4</w:t>
            </w:r>
            <w:r/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400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01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64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88"/>
        </w:trPr>
        <w:tc>
          <w:tcPr>
            <w:tcW w:w="18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4008" w:type="dxa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321 773,8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336 277,6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</w:pPr>
            <w:r>
              <w:t xml:space="preserve">1 438 692,2</w:t>
            </w:r>
            <w:r/>
          </w:p>
        </w:tc>
      </w:tr>
      <w:tr>
        <w:tblPrEx/>
        <w:trPr>
          <w:trHeight w:val="236"/>
        </w:trPr>
        <w:tc>
          <w:tcPr>
            <w:tcW w:w="18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4008" w:type="dxa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321 773,8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336 277,6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1663" w:type="dxa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</w:pPr>
            <w:r>
              <w:t xml:space="preserve">1 438 692,2</w:t>
            </w:r>
            <w:r/>
          </w:p>
        </w:tc>
      </w:tr>
    </w:tbl>
    <w:p>
      <w:pPr>
        <w:rPr>
          <w:vertAlign w:val="superscript"/>
          <w:lang w:val="en-US"/>
        </w:rPr>
      </w:pPr>
      <w:r>
        <w:rPr>
          <w:vertAlign w:val="superscript"/>
          <w:lang w:val="en-US"/>
        </w:rPr>
      </w:r>
      <w:r>
        <w:rPr>
          <w:vertAlign w:val="superscript"/>
          <w:lang w:val="en-US"/>
        </w:rPr>
      </w:r>
      <w:r>
        <w:rPr>
          <w:vertAlign w:val="superscript"/>
          <w:lang w:val="en-US"/>
        </w:rPr>
      </w:r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center"/>
        <w:spacing w:line="240" w:lineRule="exact"/>
        <w:rPr>
          <w:b/>
          <w:sz w:val="24"/>
        </w:rPr>
      </w:pPr>
      <w:r>
        <w:rPr>
          <w:b/>
          <w:sz w:val="24"/>
        </w:rPr>
        <w:t xml:space="preserve">СТРАТЕГИЧЕСКИЕ ПРИОРИТЕТЫ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spacing w:line="240" w:lineRule="exact"/>
        <w:rPr>
          <w:b/>
          <w:sz w:val="24"/>
        </w:rPr>
      </w:pPr>
      <w:r>
        <w:rPr>
          <w:b/>
          <w:sz w:val="24"/>
        </w:rPr>
        <w:t xml:space="preserve">муниципальной программы города Перми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spacing w:line="240" w:lineRule="exact"/>
        <w:rPr>
          <w:b/>
          <w:sz w:val="24"/>
        </w:rPr>
      </w:pPr>
      <w:r>
        <w:rPr>
          <w:b/>
          <w:sz w:val="24"/>
        </w:rPr>
        <w:t xml:space="preserve">«Управление муниципальным имуществом города Перми»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58"/>
        <w:numPr>
          <w:ilvl w:val="1"/>
          <w:numId w:val="13"/>
        </w:numPr>
        <w:jc w:val="center"/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Оценка текущего состояния сферы муниципального имущества города Перми.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firstLine="426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имущество города Перми разделяется на недвижимое имущество, состоящее из нежилого и жилищного фондов и на движимое имущество.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жилищный фонд состоит из 20,5 тысяч жилых помещений площадью 838,4 тыс. кв. м, в полном объе</w:t>
      </w:r>
      <w:r>
        <w:rPr>
          <w:sz w:val="24"/>
          <w:szCs w:val="24"/>
        </w:rPr>
        <w:t xml:space="preserve">ме находится в составе имущества муниципальной казны. Управление и распоряжение муниципальным жилым фондом осуществляет управление жилищных отношений администрации города Перми и муниципальное казенное учреждение «Управление муниципальным жилищным фондом».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объектов нежилого фон</w:t>
      </w:r>
      <w:r>
        <w:rPr>
          <w:sz w:val="24"/>
          <w:szCs w:val="24"/>
        </w:rPr>
        <w:t xml:space="preserve">да закреплена на праве оперативного управления за муниципальными учреждениями, функциональными и территориальными органами администрации города Перми (77%, 1585,3 тыс. кв. м), на праве хозяйственного ведения за муниципальными унитарными предприятиями (МП «</w:t>
      </w:r>
      <w:r>
        <w:rPr>
          <w:sz w:val="24"/>
          <w:szCs w:val="24"/>
        </w:rPr>
        <w:t xml:space="preserve">Пермводоканал</w:t>
      </w:r>
      <w:r>
        <w:rPr>
          <w:sz w:val="24"/>
          <w:szCs w:val="24"/>
        </w:rPr>
        <w:t xml:space="preserve">», ПМУП «</w:t>
      </w:r>
      <w:r>
        <w:rPr>
          <w:sz w:val="24"/>
          <w:szCs w:val="24"/>
        </w:rPr>
        <w:t xml:space="preserve">Пермгорэлектротранс</w:t>
      </w:r>
      <w:r>
        <w:rPr>
          <w:sz w:val="24"/>
          <w:szCs w:val="24"/>
        </w:rPr>
        <w:t xml:space="preserve">», ПМУП «Городское коммунальное и тепловое хозяйство», ПМУП «Ритуальные услуги» (4,5%, 90,6 </w:t>
      </w:r>
      <w:r>
        <w:rPr>
          <w:sz w:val="24"/>
          <w:szCs w:val="24"/>
        </w:rPr>
        <w:t xml:space="preserve">тыс.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). По отраслевому признаку объекты нежилого фонда используются учреждениями образования (81%), учреждениями культуры (7%), физкультуры и спорта (6%), функциональными и территориальными органами и МКУ администрации города Перми (6%).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нежилого фонда, не закрепленные за муниципальными учреждениями, предприятиями и органами администрации города Перми составляют имущество муниципальной казны (18,5%, 382,3 тыс. кв. м).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Имущество, находящееся в составе имущества муниципальной казны, вовлекается в оборот через предоставление в пользование по договорам аренды, безвозмездного пользования, концессии, а также путем его продажи (приватизации).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Вовлечение имущества муниципальной казны в оборот направлено на: содейст</w:t>
      </w:r>
      <w:r>
        <w:rPr>
          <w:sz w:val="24"/>
          <w:szCs w:val="24"/>
        </w:rPr>
        <w:t xml:space="preserve">вие в исполнении государственных полномочий федеральных и региональных органов и учреждений, поддержку социально-ориентированных некоммерческих организаций и субъектов малого и среднего предпринимательства, формирования доходной части бюджета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администрируемых доходов бюджета входят следующие виды дохода от использования имущества: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от аренды имущества,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от реализации имущества,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в виде дивидендов (ООО «Центральный парк развлечений им. М. Горького»)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от передачи имущества в концессию.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вовлечение имущества муниципальной казны в хозяйственный оборот способствует уменьшению расходной части бюджета города Перми на содержание неиспользуемого муниципального имущества.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части объектов, вовлечение которых в хозяйственный оборот невозможно, предусматриваются мероприятия по сохранению и приведению данных объектов в состояние, предусмотренное требованиям действующего законодательства.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8"/>
        <w:numPr>
          <w:ilvl w:val="1"/>
          <w:numId w:val="13"/>
        </w:numPr>
        <w:jc w:val="center"/>
        <w:spacing w:line="288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Стратегические приоритеты и цели в сфере реализации муниципальной программы.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426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Мероприятия муниципальной программы направлены на эффективное использование и управление имущественным ресур</w:t>
      </w:r>
      <w:r>
        <w:rPr>
          <w:sz w:val="24"/>
          <w:szCs w:val="24"/>
        </w:rPr>
        <w:t xml:space="preserve">сом в условиях объективного снижения неналоговых поступлений в бюджет города Перми, путем реализации непрофильного имущества, не востребованного для выполнения полномочий городского округа, сокращения задолженности по администрируемым неналоговым платежам.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муниципальной пр</w:t>
      </w:r>
      <w:r>
        <w:rPr>
          <w:sz w:val="24"/>
          <w:szCs w:val="24"/>
        </w:rPr>
        <w:t xml:space="preserve">ограммы является осуществление рационального и эффективного управления и распоряжения имуществом, находящимся в муниципальной собственности города Перми и составляющим муниципальную казну, за исключением земельных участков и муниципального жилищного фонда.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60"/>
        <w:spacing w:line="288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8"/>
        <w:numPr>
          <w:ilvl w:val="1"/>
          <w:numId w:val="13"/>
        </w:numPr>
        <w:jc w:val="center"/>
        <w:spacing w:after="0" w:line="288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способы их эффективного решения.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цели муниципальной программы предусмотрены следующие задачи: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осуществление полномочий собственника муниципального имущества города Перми (</w:t>
      </w:r>
      <w:r>
        <w:rPr>
          <w:i/>
          <w:sz w:val="24"/>
          <w:szCs w:val="24"/>
        </w:rPr>
        <w:t xml:space="preserve">в отношении имущества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находящегося в казне, переданного в оперативное управление, хозяйственное ведение, безвозмездное пользование, концессию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приватизация и передача в аренду муниципального имущества;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организация и проведение торгов муниципального имущества;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ведение реестра муниципального имущества;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учет бесхозяйного имущества и признание на него права муниципальной собственности в судебном порядке;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приобретение и принятие в муниципальную собственность имущества, а также передачу муниципального имущества в федеральную и краевую собственность;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указанных задач обеспечивается посредством реализации системы комплексных мероприятий, которые включают в себя: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заключение муниципальных контрактов по содержанию имущества и приведению в нормативное состояние;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заключение договоров аренды муниципального имущества;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заключение договоров купли-продажи объектов муниципальной собственности;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заключение концессионных соглашений;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получение оценочных</w:t>
      </w:r>
      <w:r>
        <w:rPr>
          <w:sz w:val="24"/>
          <w:szCs w:val="24"/>
        </w:rPr>
        <w:t xml:space="preserve"> отчетов, справок о рыночной стоимости, заключений о рыночной стоимости, актов технической экспертизы, технических паспортов, актов обследования, межевых планов, экспертных заключений, экспертиз по судебным делам в арбитражном суде и суде общей юрисдикции.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1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«Осуществление полномочий собственника муниципального имущества города Перми в порядке, предусмотренном действующим законодательством»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493"/>
        <w:gridCol w:w="3447"/>
        <w:gridCol w:w="948"/>
        <w:gridCol w:w="1140"/>
        <w:gridCol w:w="251"/>
        <w:gridCol w:w="834"/>
        <w:gridCol w:w="831"/>
        <w:gridCol w:w="260"/>
        <w:gridCol w:w="1301"/>
        <w:gridCol w:w="1554"/>
        <w:gridCol w:w="1548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77" w:type="pct"/>
            <w:textDirection w:val="lrTb"/>
            <w:noWrap w:val="false"/>
          </w:tcPr>
          <w:p>
            <w:r>
              <w:t xml:space="preserve">Ответственный исполнитель</w:t>
            </w:r>
            <w:r/>
          </w:p>
        </w:tc>
        <w:tc>
          <w:tcPr>
            <w:gridSpan w:val="11"/>
            <w:tcMar>
              <w:left w:w="4" w:type="dxa"/>
              <w:top w:w="6" w:type="dxa"/>
              <w:right w:w="4" w:type="dxa"/>
              <w:bottom w:w="6" w:type="dxa"/>
            </w:tcMar>
            <w:tcW w:w="4323" w:type="pct"/>
            <w:textDirection w:val="lrTb"/>
            <w:noWrap w:val="false"/>
          </w:tcPr>
          <w:p>
            <w:r>
              <w:t xml:space="preserve">Департамент имущественных отношений администрации города Перми (Хаткевич А.А., начальник департамента)</w:t>
            </w:r>
            <w:r/>
          </w:p>
        </w:tc>
      </w:tr>
      <w:tr>
        <w:tblPrEx/>
        <w:trPr>
          <w:trHeight w:val="323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974" w:type="dxa"/>
            <w:vMerge w:val="restart"/>
            <w:textDirection w:val="lrTb"/>
            <w:noWrap w:val="false"/>
          </w:tcPr>
          <w:p>
            <w:pPr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8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32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8"/>
            <w:tcMar>
              <w:left w:w="4" w:type="dxa"/>
              <w:top w:w="6" w:type="dxa"/>
              <w:right w:w="4" w:type="dxa"/>
              <w:bottom w:w="6" w:type="dxa"/>
            </w:tcMar>
            <w:tcW w:w="2647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98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71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35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9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82" w:type="pct"/>
            <w:textDirection w:val="lrTb"/>
            <w:noWrap w:val="false"/>
          </w:tcPr>
          <w:p>
            <w:r>
              <w:t xml:space="preserve"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t xml:space="preserve">тыс. </w:t>
            </w:r>
            <w:r>
              <w:t xml:space="preserve">кв.м</w:t>
            </w:r>
            <w:r>
              <w:t xml:space="preserve">.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t xml:space="preserve">89,1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71" w:type="pct"/>
            <w:textDirection w:val="lrTb"/>
            <w:noWrap w:val="false"/>
          </w:tcPr>
          <w:p>
            <w:pPr>
              <w:jc w:val="center"/>
            </w:pPr>
            <w:r>
              <w:t xml:space="preserve">89,1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35" w:type="pct"/>
            <w:textDirection w:val="lrTb"/>
            <w:noWrap w:val="false"/>
          </w:tcPr>
          <w:p>
            <w:pPr>
              <w:jc w:val="center"/>
            </w:pPr>
            <w:r>
              <w:t xml:space="preserve">89,1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89,1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89,1</w:t>
            </w:r>
            <w:r/>
          </w:p>
        </w:tc>
      </w:tr>
      <w:tr>
        <w:tblPrEx/>
        <w:trPr>
          <w:trHeight w:val="167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9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82" w:type="pct"/>
            <w:textDirection w:val="lrTb"/>
            <w:noWrap w:val="false"/>
          </w:tcPr>
          <w:p>
            <w:r>
              <w:t xml:space="preserve">Объем задолженности в бюджет города Перми по арендной плате за имущество (без учета пени, штрафов)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t xml:space="preserve">млн. руб.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t xml:space="preserve">68,0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71" w:type="pct"/>
            <w:textDirection w:val="lrTb"/>
            <w:noWrap w:val="false"/>
          </w:tcPr>
          <w:p>
            <w:pPr>
              <w:jc w:val="center"/>
            </w:pPr>
            <w:r>
              <w:t xml:space="preserve">57,8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35" w:type="pct"/>
            <w:textDirection w:val="lrTb"/>
            <w:noWrap w:val="false"/>
          </w:tcPr>
          <w:p>
            <w:pPr>
              <w:jc w:val="center"/>
            </w:pPr>
            <w:r>
              <w:t xml:space="preserve">49,1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41,8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35,5</w:t>
            </w:r>
            <w:r/>
          </w:p>
        </w:tc>
      </w:tr>
      <w:tr>
        <w:tblPrEx/>
        <w:trPr>
          <w:trHeight w:val="167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9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82" w:type="pct"/>
            <w:textDirection w:val="lrTb"/>
            <w:noWrap w:val="false"/>
          </w:tcPr>
          <w:p>
            <w:r>
              <w:t xml:space="preserve">Количество объектов, приведенных в нормативное состояние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71" w:type="pct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35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67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82" w:type="pct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площади пустующих помещений, находящихся в составе имущества муниципальной казны более 1 года на 15 % ежегодно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тыс. </w:t>
            </w:r>
            <w:r>
              <w:rPr>
                <w:color w:val="000000" w:themeColor="text1"/>
              </w:rPr>
              <w:t xml:space="preserve">кв.м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7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88,1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5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74,9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3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3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93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77" w:type="pct"/>
            <w:vMerge w:val="restart"/>
            <w:textDirection w:val="lrTb"/>
            <w:noWrap w:val="false"/>
          </w:tcPr>
          <w:p>
            <w:r>
              <w:t xml:space="preserve">Объемы </w:t>
            </w:r>
            <w:r>
              <w:br w:type="textWrapping" w:clear="all"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8"/>
            <w:tcMar>
              <w:left w:w="4" w:type="dxa"/>
              <w:top w:w="6" w:type="dxa"/>
              <w:right w:w="4" w:type="dxa"/>
              <w:bottom w:w="6" w:type="dxa"/>
            </w:tcMar>
            <w:tcW w:w="2647" w:type="pct"/>
            <w:textDirection w:val="lrTb"/>
            <w:noWrap w:val="false"/>
          </w:tcPr>
          <w:p>
            <w:pPr>
              <w:jc w:val="center"/>
            </w:pPr>
            <w:r>
              <w:t xml:space="preserve"> 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67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167 511,9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178 833,6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654 654,3</w:t>
            </w:r>
            <w:r/>
          </w:p>
        </w:tc>
      </w:tr>
      <w:tr>
        <w:tblPrEx/>
        <w:trPr>
          <w:trHeight w:val="258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167 511,9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178 833,6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654 654,3</w:t>
            </w:r>
            <w:r/>
          </w:p>
          <w:p>
            <w:pPr>
              <w:jc w:val="center"/>
            </w:pPr>
            <w:r/>
            <w:r/>
          </w:p>
        </w:tc>
      </w:tr>
    </w:tbl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Cs/>
          <w:vertAlign w:val="superscript"/>
        </w:rPr>
      </w:pPr>
      <w:r>
        <w:rPr>
          <w:bCs/>
          <w:vertAlign w:val="superscript"/>
        </w:rPr>
      </w:r>
      <w:r>
        <w:rPr>
          <w:bCs/>
          <w:vertAlign w:val="superscript"/>
        </w:rPr>
      </w:r>
      <w:r>
        <w:rPr>
          <w:bCs/>
          <w:vertAlign w:val="superscript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2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«Обеспечение деятельности департамента имущественных отношений администрации города Перми и подведомственного ему учреждения»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4887"/>
        <w:gridCol w:w="1140"/>
        <w:gridCol w:w="1085"/>
        <w:gridCol w:w="1091"/>
        <w:gridCol w:w="1301"/>
        <w:gridCol w:w="1554"/>
        <w:gridCol w:w="1548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77" w:type="pct"/>
            <w:textDirection w:val="lrTb"/>
            <w:noWrap w:val="false"/>
          </w:tcPr>
          <w:p>
            <w:r>
              <w:t xml:space="preserve">Ответственный исполнитель</w:t>
            </w:r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4323" w:type="pct"/>
            <w:textDirection w:val="lrTb"/>
            <w:noWrap w:val="false"/>
          </w:tcPr>
          <w:p>
            <w:r>
              <w:t xml:space="preserve">Департамент имущественных отношений администрации города Перми (Хаткевич А.А., начальник департамента)</w:t>
            </w:r>
            <w:r/>
          </w:p>
        </w:tc>
      </w:tr>
      <w:tr>
        <w:tblPrEx/>
        <w:trPr>
          <w:trHeight w:val="399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77" w:type="pct"/>
            <w:vMerge w:val="restart"/>
            <w:textDirection w:val="lrTb"/>
            <w:noWrap w:val="false"/>
          </w:tcPr>
          <w:p>
            <w:r>
              <w:t xml:space="preserve">Объемы </w:t>
            </w:r>
            <w:r>
              <w:br w:type="textWrapping" w:clear="all"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2647" w:type="pct"/>
            <w:textDirection w:val="lrTb"/>
            <w:noWrap w:val="false"/>
          </w:tcPr>
          <w:p>
            <w:pPr>
              <w:jc w:val="center"/>
            </w:pPr>
            <w:r>
              <w:t xml:space="preserve"> 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154 261,9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784 037,9</w:t>
            </w:r>
            <w:r/>
          </w:p>
        </w:tc>
      </w:tr>
      <w:tr>
        <w:tblPrEx/>
        <w:trPr>
          <w:trHeight w:val="393"/>
        </w:trPr>
        <w:tc>
          <w:tcPr>
            <w:tcW w:w="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67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154 261,9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2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</w:pPr>
            <w:r>
              <w:t xml:space="preserve">784 037,9</w:t>
            </w:r>
            <w:r/>
          </w:p>
        </w:tc>
      </w:tr>
    </w:tbl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  <w:sectPr>
          <w:footnotePr/>
          <w:endnotePr/>
          <w:type w:val="nextPage"/>
          <w:pgSz w:w="16838" w:h="11906" w:orient="landscape"/>
          <w:pgMar w:top="851" w:right="1134" w:bottom="567" w:left="1134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/>
      <w:r/>
    </w:p>
    <w:p>
      <w:pPr>
        <w:jc w:val="right"/>
      </w:pPr>
      <w:r>
        <w:br w:type="textWrapping" w:clear="all"/>
      </w:r>
      <w:r/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целевых показателей программы, показателей структурных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элементов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Cs/>
          <w:iCs/>
        </w:rPr>
      </w:pPr>
      <w:r>
        <w:rPr>
          <w:bCs/>
          <w:iCs/>
        </w:rPr>
        <w:t xml:space="preserve">«Управление муниципальным имуществом города Перми»</w:t>
      </w:r>
      <w:r>
        <w:rPr>
          <w:bCs/>
          <w:iCs/>
        </w:rPr>
      </w:r>
      <w:r>
        <w:rPr>
          <w:bCs/>
          <w:iCs/>
        </w:rPr>
      </w:r>
    </w:p>
    <w:p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>
        <w:tblPrEx/>
        <w:trPr>
          <w:tblHeader/>
        </w:trPr>
        <w:tc>
          <w:tcPr>
            <w:tcW w:w="1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111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</w:t>
            </w:r>
            <w:r/>
          </w:p>
          <w:p>
            <w:pPr>
              <w:jc w:val="center"/>
              <w:widowControl w:val="off"/>
            </w:pPr>
            <w:r>
              <w:t xml:space="preserve"> программы, показателей </w:t>
            </w:r>
            <w:r/>
          </w:p>
          <w:p>
            <w:pPr>
              <w:jc w:val="center"/>
              <w:widowControl w:val="off"/>
            </w:pPr>
            <w:r>
              <w:t xml:space="preserve">структурных элементов программы</w:t>
            </w:r>
            <w:r/>
          </w:p>
        </w:tc>
        <w:tc>
          <w:tcPr>
            <w:tcW w:w="42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073" w:type="pct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2225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  <w:tblHeader/>
        </w:trPr>
        <w:tc>
          <w:tcPr>
            <w:tcW w:w="161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16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2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7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205"/>
          <w:tblHeader/>
        </w:trPr>
        <w:tc>
          <w:tcPr>
            <w:tcW w:w="16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111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425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0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7"/>
            <w:tcW w:w="4111" w:type="pct"/>
            <w:textDirection w:val="lrTb"/>
            <w:noWrap w:val="false"/>
          </w:tcPr>
          <w:p>
            <w:r>
              <w:t xml:space="preserve">Муниципальная программа города Перми «</w:t>
            </w:r>
            <w:r>
              <w:rPr>
                <w:bCs/>
                <w:iCs/>
              </w:rPr>
              <w:t xml:space="preserve">Управление муниципальным имуществом города Перми</w:t>
            </w:r>
            <w:r>
              <w:rPr>
                <w:b/>
                <w:bCs/>
                <w:iCs/>
              </w:rPr>
              <w:t xml:space="preserve">» 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>
          <w:trHeight w:val="369"/>
        </w:trPr>
        <w:tc>
          <w:tcPr>
            <w:tcW w:w="161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1116" w:type="pct"/>
            <w:textDirection w:val="lrTb"/>
            <w:noWrap w:val="false"/>
          </w:tcPr>
          <w:p>
            <w:pPr>
              <w:widowControl w:val="off"/>
            </w:pPr>
            <w:r>
              <w:t xml:space="preserve">Целевой показатель программы</w:t>
            </w:r>
            <w:r/>
          </w:p>
          <w:p>
            <w:pPr>
              <w:widowControl w:val="off"/>
            </w:pPr>
            <w:r>
              <w:t xml:space="preserve">«Объем неналоговых доходов бюджета города Перми»</w:t>
            </w:r>
            <w:r/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</w:pPr>
            <w:r>
              <w:t xml:space="preserve">тыс.</w:t>
            </w:r>
            <w:r>
              <w:rPr>
                <w:lang w:val="en-US"/>
              </w:rPr>
              <w:t xml:space="preserve"> </w:t>
            </w:r>
            <w:r>
              <w:t xml:space="preserve">руб.</w:t>
            </w:r>
            <w:r/>
          </w:p>
        </w:tc>
        <w:tc>
          <w:tcPr>
            <w:tcW w:w="10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Департамент имущественных отношений администрации города Перми (далее – ДИО)</w:t>
            </w:r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156 832</w:t>
            </w:r>
            <w:r>
              <w:t xml:space="preserve">,2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</w:pPr>
            <w:r>
              <w:t xml:space="preserve">148 253,1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128 149,4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131 693,0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</w:pPr>
            <w:r>
              <w:t xml:space="preserve">131 996,0</w:t>
            </w:r>
            <w:r/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1 «</w:t>
            </w:r>
            <w:r>
              <w:rPr>
                <w:bCs/>
                <w:iCs/>
              </w:rPr>
              <w:t xml:space="preserve">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  <w:r/>
          </w:p>
        </w:tc>
      </w:tr>
      <w:tr>
        <w:tblPrEx/>
        <w:trPr/>
        <w:tc>
          <w:tcPr>
            <w:tcW w:w="161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116" w:type="pct"/>
            <w:textDirection w:val="lrTb"/>
            <w:noWrap w:val="false"/>
          </w:tcPr>
          <w:p>
            <w:pPr>
              <w:widowControl w:val="off"/>
            </w:pPr>
            <w:r>
              <w:t xml:space="preserve"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  <w:r/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тыс. </w:t>
            </w:r>
            <w:r>
              <w:t xml:space="preserve">кв.м</w:t>
            </w:r>
            <w:r>
              <w:t xml:space="preserve">.</w:t>
            </w:r>
            <w:r/>
          </w:p>
        </w:tc>
        <w:tc>
          <w:tcPr>
            <w:tcW w:w="10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ДИО</w:t>
            </w:r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89,1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89,1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89,1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89,1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89,1</w:t>
            </w:r>
            <w:r/>
          </w:p>
        </w:tc>
      </w:tr>
      <w:tr>
        <w:tblPrEx/>
        <w:trPr/>
        <w:tc>
          <w:tcPr>
            <w:tcW w:w="161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16" w:type="pct"/>
            <w:textDirection w:val="lrTb"/>
            <w:noWrap w:val="false"/>
          </w:tcPr>
          <w:p>
            <w:pPr>
              <w:widowControl w:val="off"/>
            </w:pPr>
            <w:r>
              <w:t xml:space="preserve">Объем задолженности в бюджет города Перми по арендной плате за имущество (без учета пени, штрафов)</w:t>
            </w:r>
            <w:r/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млн. руб.</w:t>
            </w:r>
            <w:r/>
          </w:p>
        </w:tc>
        <w:tc>
          <w:tcPr>
            <w:tcW w:w="10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ДИО</w:t>
            </w:r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</w:pPr>
            <w:r>
              <w:t xml:space="preserve">68,0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</w:pPr>
            <w:r>
              <w:t xml:space="preserve">57,8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49,1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41,8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</w:pPr>
            <w:r>
              <w:t xml:space="preserve">35,5</w:t>
            </w:r>
            <w:r/>
          </w:p>
        </w:tc>
      </w:tr>
      <w:tr>
        <w:tblPrEx/>
        <w:trPr/>
        <w:tc>
          <w:tcPr>
            <w:tcW w:w="161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116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Количество объектов, приведенных в нормативное состояние</w:t>
            </w:r>
            <w:r/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0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ДИО</w:t>
            </w:r>
            <w:r/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13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161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16" w:type="pct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площади пустующих помещений, находящихся в составе имущества муниципальной казны более 1 года на 15 % ежегодно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2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тыс. </w:t>
            </w:r>
            <w:r>
              <w:rPr>
                <w:color w:val="000000" w:themeColor="text1"/>
              </w:rPr>
              <w:t xml:space="preserve">кв.м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0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8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88,1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74,9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24"/>
        </w:rPr>
      </w:pPr>
      <w:r>
        <w:rPr>
          <w:b/>
          <w:sz w:val="28"/>
        </w:rPr>
        <w:t xml:space="preserve"> реализации муниципальной программы</w:t>
      </w:r>
      <w:r>
        <w:rPr>
          <w:b/>
          <w:bCs/>
          <w:iCs/>
          <w:sz w:val="36"/>
          <w:szCs w:val="24"/>
        </w:rPr>
      </w:r>
      <w:r>
        <w:rPr>
          <w:b/>
          <w:bCs/>
          <w:iCs/>
          <w:sz w:val="36"/>
          <w:szCs w:val="24"/>
        </w:rPr>
      </w:r>
    </w:p>
    <w:p>
      <w:pPr>
        <w:jc w:val="center"/>
        <w:rPr>
          <w:bCs/>
          <w:iCs/>
        </w:rPr>
      </w:pPr>
      <w:r>
        <w:rPr>
          <w:bCs/>
          <w:iCs/>
        </w:rPr>
        <w:t xml:space="preserve">«Управление муниципальным имуществом города Перми»</w:t>
      </w:r>
      <w:r>
        <w:rPr>
          <w:bCs/>
          <w:iCs/>
        </w:rPr>
      </w:r>
      <w:r>
        <w:rPr>
          <w:bCs/>
          <w:iCs/>
        </w:rPr>
      </w:r>
    </w:p>
    <w:p>
      <w:pPr>
        <w:jc w:val="center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>
        <w:tblPrEx/>
        <w:trPr/>
        <w:tc>
          <w:tcPr>
            <w:tcW w:w="125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  <w:lang w:val="en-US"/>
              </w:rPr>
            </w:pPr>
            <w:r>
              <w:t xml:space="preserve">ФО (ФП), ТО</w:t>
            </w:r>
            <w:r>
              <w:rPr>
                <w:vertAlign w:val="superscript"/>
                <w:lang w:val="en-US"/>
              </w:rPr>
            </w:r>
            <w:r>
              <w:rPr>
                <w:vertAlign w:val="superscript"/>
                <w:lang w:val="en-US"/>
              </w:rPr>
            </w:r>
          </w:p>
        </w:tc>
        <w:tc>
          <w:tcPr>
            <w:tcW w:w="754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261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 Расходы, тыс. рублей</w:t>
            </w:r>
            <w:r/>
          </w:p>
        </w:tc>
      </w:tr>
      <w:tr>
        <w:tblPrEx/>
        <w:trPr>
          <w:trHeight w:val="720"/>
        </w:trPr>
        <w:tc>
          <w:tcPr>
            <w:tcW w:w="125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754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321 773,8</w:t>
            </w:r>
            <w:r/>
          </w:p>
        </w:tc>
        <w:tc>
          <w:tcPr>
            <w:shd w:val="clear" w:color="auto" w:fill="ffffff"/>
            <w:tcW w:w="4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336 277,6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260 213,6</w:t>
            </w:r>
            <w:r/>
          </w:p>
        </w:tc>
        <w:tc>
          <w:tcPr>
            <w:tcW w:w="42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1 438 692,2</w:t>
            </w:r>
            <w:r/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outlineLvl w:val="0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>
          <w:trHeight w:val="231"/>
        </w:trPr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1 </w:t>
            </w:r>
            <w:r>
              <w:rPr>
                <w:bCs/>
                <w:iCs/>
              </w:rPr>
              <w:t xml:space="preserve">«Осуществление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r/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c00000"/>
                <w:highlight w:val="yellow"/>
              </w:rPr>
            </w:pPr>
            <w:r>
              <w:rPr>
                <w:color w:val="000000" w:themeColor="text1"/>
                <w:highlight w:val="white"/>
              </w:rPr>
              <w:t xml:space="preserve">167 511,9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c00000"/>
                <w:highlight w:val="yellow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178 833,6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102 769,6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654 654,3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</w:t>
            </w:r>
            <w:r/>
          </w:p>
          <w:p>
            <w:pPr>
              <w:widowControl w:val="off"/>
            </w:pPr>
            <w:r>
              <w:t xml:space="preserve">Мероприятия в сфере имущественных отношений 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ДИО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</w:pPr>
            <w:r>
              <w:t xml:space="preserve">2 114,4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2 114,4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2 114,4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2 114,4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2 114,4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10 572,0</w:t>
            </w:r>
            <w:r/>
          </w:p>
        </w:tc>
      </w:tr>
      <w:tr>
        <w:tblPrEx/>
        <w:trPr>
          <w:trHeight w:val="629"/>
        </w:trPr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1.2</w:t>
            </w:r>
            <w:r/>
          </w:p>
          <w:p>
            <w:pPr>
              <w:widowControl w:val="off"/>
            </w:pPr>
            <w:r>
              <w:t xml:space="preserve">Содержание и обслуживание нежилого муниципального фонда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ДИО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84 247,5</w:t>
            </w:r>
            <w:r>
              <w:rPr>
                <w:color w:val="000000" w:themeColor="text1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59 505,2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59 505,2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59 505,2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59 505,2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322 268,3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1.3</w:t>
            </w:r>
            <w:r/>
          </w:p>
          <w:p>
            <w:pPr>
              <w:widowControl w:val="off"/>
            </w:pPr>
            <w:r>
              <w:t xml:space="preserve">Приведение в нормативное состояние объектов нежилого муниципального фонда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ДИО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81 150,0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117 214,0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41 150,0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41 150,0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41 150,0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321 814,0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2 </w:t>
            </w:r>
            <w:r>
              <w:rPr>
                <w:bCs/>
                <w:iCs/>
              </w:rPr>
              <w:t xml:space="preserve">«Обеспечение деятельности департамента имущественных отношений администрации города Перми и подведомственного ему учреждения»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r/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highlight w:val="white"/>
              </w:rPr>
              <w:t xml:space="preserve">154 261,9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157 444,0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784 037,9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</w:t>
            </w:r>
            <w:r/>
          </w:p>
          <w:p>
            <w:pPr>
              <w:widowControl w:val="off"/>
            </w:pPr>
            <w:r>
              <w:t xml:space="preserve">Содержание муниципальных органов города Перми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ДИО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97 879,6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100 729</w:t>
            </w:r>
            <w:r>
              <w:t xml:space="preserve">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100 729,4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100 729,4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100 729,4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500 797,2</w:t>
            </w:r>
            <w:r/>
          </w:p>
        </w:tc>
      </w:tr>
      <w:tr>
        <w:tblPrEx/>
        <w:trPr/>
        <w:tc>
          <w:tcPr>
            <w:tcW w:w="125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2.2</w:t>
            </w:r>
            <w:r/>
          </w:p>
          <w:p>
            <w:pPr>
              <w:widowControl w:val="off"/>
            </w:pPr>
            <w:r>
              <w:t xml:space="preserve">Обеспечение деятельности (оказание услуг, выполнение работ) муниципальных учреждений (организаций)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ДИО</w:t>
            </w:r>
            <w:r/>
          </w:p>
        </w:tc>
        <w:tc>
          <w:tcPr>
            <w:tcW w:w="754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56 382,3</w:t>
            </w:r>
            <w:r>
              <w:rPr>
                <w:color w:val="000000" w:themeColor="text1"/>
              </w:rPr>
            </w:r>
            <w:r>
              <w:rPr>
                <w:color w:val="c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56 714,6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56 714,6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56 714,6</w:t>
            </w:r>
            <w:r/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</w:pPr>
            <w:r>
              <w:t xml:space="preserve">56 714,6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283 240,7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20" w:h="11900" w:orient="landscape"/>
      <w:pgMar w:top="1134" w:right="567" w:bottom="1134" w:left="1418" w:header="397" w:footer="68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8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3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3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3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46"/>
    <w:link w:val="760"/>
    <w:uiPriority w:val="10"/>
    <w:rPr>
      <w:sz w:val="48"/>
      <w:szCs w:val="48"/>
    </w:rPr>
  </w:style>
  <w:style w:type="character" w:styleId="731">
    <w:name w:val="Subtitle Char"/>
    <w:basedOn w:val="746"/>
    <w:link w:val="762"/>
    <w:uiPriority w:val="11"/>
    <w:rPr>
      <w:sz w:val="24"/>
      <w:szCs w:val="24"/>
    </w:rPr>
  </w:style>
  <w:style w:type="character" w:styleId="732">
    <w:name w:val="Quote Char"/>
    <w:link w:val="764"/>
    <w:uiPriority w:val="29"/>
    <w:rPr>
      <w:i/>
    </w:rPr>
  </w:style>
  <w:style w:type="character" w:styleId="733">
    <w:name w:val="Intense Quote Char"/>
    <w:link w:val="766"/>
    <w:uiPriority w:val="30"/>
    <w:rPr>
      <w:i/>
    </w:rPr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933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9">
    <w:name w:val="No Spacing"/>
    <w:link w:val="942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Caption Char"/>
    <w:uiPriority w:val="99"/>
  </w:style>
  <w:style w:type="table" w:styleId="77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uiPriority w:val="99"/>
    <w:unhideWhenUsed/>
    <w:rPr>
      <w:color w:val="0563c1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32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36"/>
    <w:pPr>
      <w:ind w:right="-1"/>
      <w:jc w:val="both"/>
    </w:pPr>
    <w:rPr>
      <w:sz w:val="26"/>
    </w:rPr>
  </w:style>
  <w:style w:type="character" w:styleId="920">
    <w:name w:val="page number"/>
    <w:basedOn w:val="746"/>
  </w:style>
  <w:style w:type="paragraph" w:styleId="921">
    <w:name w:val="Balloon Text"/>
    <w:basedOn w:val="736"/>
    <w:link w:val="922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768"/>
    <w:uiPriority w:val="99"/>
  </w:style>
  <w:style w:type="paragraph" w:styleId="924" w:customStyle="1">
    <w:name w:val="Форма"/>
    <w:rPr>
      <w:sz w:val="28"/>
      <w:szCs w:val="28"/>
    </w:rPr>
  </w:style>
  <w:style w:type="numbering" w:styleId="925" w:customStyle="1">
    <w:name w:val="Нет списка1"/>
    <w:next w:val="748"/>
    <w:semiHidden/>
  </w:style>
  <w:style w:type="paragraph" w:styleId="926" w:customStyle="1">
    <w:name w:val="Приложение"/>
    <w:basedOn w:val="91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27" w:customStyle="1">
    <w:name w:val="Подпись на  бланке должностного лица"/>
    <w:basedOn w:val="736"/>
    <w:next w:val="918"/>
    <w:pPr>
      <w:ind w:left="7088"/>
      <w:spacing w:before="480" w:line="240" w:lineRule="exact"/>
    </w:pPr>
    <w:rPr>
      <w:sz w:val="28"/>
    </w:rPr>
  </w:style>
  <w:style w:type="paragraph" w:styleId="928">
    <w:name w:val="Signature"/>
    <w:basedOn w:val="736"/>
    <w:next w:val="918"/>
    <w:link w:val="92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29" w:customStyle="1">
    <w:name w:val="Подпись Знак"/>
    <w:link w:val="928"/>
    <w:rPr>
      <w:sz w:val="28"/>
    </w:rPr>
  </w:style>
  <w:style w:type="numbering" w:styleId="930" w:customStyle="1">
    <w:name w:val="Нет списка11"/>
    <w:next w:val="748"/>
    <w:semiHidden/>
    <w:unhideWhenUsed/>
  </w:style>
  <w:style w:type="character" w:styleId="931" w:customStyle="1">
    <w:name w:val="Нижний колонтитул Знак"/>
    <w:link w:val="770"/>
    <w:uiPriority w:val="99"/>
  </w:style>
  <w:style w:type="character" w:styleId="932" w:customStyle="1">
    <w:name w:val="Основной текст Знак"/>
    <w:link w:val="918"/>
    <w:rPr>
      <w:rFonts w:ascii="Courier New" w:hAnsi="Courier New"/>
      <w:sz w:val="26"/>
    </w:rPr>
  </w:style>
  <w:style w:type="character" w:styleId="933" w:customStyle="1">
    <w:name w:val="Заголовок 1 Знак"/>
    <w:link w:val="737"/>
    <w:uiPriority w:val="9"/>
    <w:rPr>
      <w:sz w:val="24"/>
    </w:rPr>
  </w:style>
  <w:style w:type="numbering" w:styleId="934" w:customStyle="1">
    <w:name w:val="Нет списка2"/>
    <w:next w:val="748"/>
    <w:uiPriority w:val="99"/>
    <w:semiHidden/>
    <w:unhideWhenUsed/>
  </w:style>
  <w:style w:type="character" w:styleId="935">
    <w:name w:val="annotation reference"/>
    <w:uiPriority w:val="99"/>
    <w:unhideWhenUsed/>
    <w:rPr>
      <w:sz w:val="16"/>
      <w:szCs w:val="16"/>
    </w:rPr>
  </w:style>
  <w:style w:type="paragraph" w:styleId="936">
    <w:name w:val="annotation text"/>
    <w:basedOn w:val="736"/>
    <w:link w:val="937"/>
    <w:uiPriority w:val="99"/>
    <w:unhideWhenUsed/>
    <w:pPr>
      <w:spacing w:after="160"/>
    </w:pPr>
    <w:rPr>
      <w:rFonts w:eastAsia="Calibri"/>
      <w:lang w:eastAsia="en-US"/>
    </w:rPr>
  </w:style>
  <w:style w:type="character" w:styleId="937" w:customStyle="1">
    <w:name w:val="Текст примечания Знак"/>
    <w:link w:val="936"/>
    <w:uiPriority w:val="99"/>
    <w:rPr>
      <w:rFonts w:eastAsia="Calibri"/>
      <w:lang w:eastAsia="en-US"/>
    </w:rPr>
  </w:style>
  <w:style w:type="paragraph" w:styleId="938">
    <w:name w:val="annotation subject"/>
    <w:basedOn w:val="936"/>
    <w:next w:val="936"/>
    <w:link w:val="939"/>
    <w:uiPriority w:val="99"/>
    <w:unhideWhenUsed/>
    <w:rPr>
      <w:b/>
      <w:bCs/>
    </w:rPr>
  </w:style>
  <w:style w:type="character" w:styleId="939" w:customStyle="1">
    <w:name w:val="Тема примечания Знак"/>
    <w:link w:val="938"/>
    <w:uiPriority w:val="99"/>
    <w:rPr>
      <w:rFonts w:eastAsia="Calibri"/>
      <w:b/>
      <w:bCs/>
      <w:lang w:eastAsia="en-US"/>
    </w:rPr>
  </w:style>
  <w:style w:type="paragraph" w:styleId="940" w:customStyle="1">
    <w:name w:val="Default"/>
    <w:rPr>
      <w:color w:val="000000"/>
      <w:sz w:val="24"/>
      <w:szCs w:val="24"/>
    </w:rPr>
  </w:style>
  <w:style w:type="paragraph" w:styleId="941" w:customStyle="1">
    <w:name w:val="ConsPlusNormal"/>
    <w:basedOn w:val="736"/>
    <w:rPr>
      <w:rFonts w:ascii="Calibri" w:hAnsi="Calibri" w:eastAsia="Calibri" w:cs="Calibri"/>
      <w:sz w:val="22"/>
      <w:szCs w:val="22"/>
    </w:rPr>
  </w:style>
  <w:style w:type="character" w:styleId="942" w:customStyle="1">
    <w:name w:val="Без интервала Знак"/>
    <w:link w:val="759"/>
    <w:uiPriority w:val="1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25</cp:revision>
  <dcterms:created xsi:type="dcterms:W3CDTF">2023-10-16T07:41:00Z</dcterms:created>
  <dcterms:modified xsi:type="dcterms:W3CDTF">2024-09-18T05:26:02Z</dcterms:modified>
  <cp:version>983040</cp:version>
</cp:coreProperties>
</file>