
<file path=[Content_Types].xml><?xml version="1.0" encoding="utf-8"?>
<Types xmlns="http://schemas.openxmlformats.org/package/2006/content-types">
  <Default Extension="svg" ContentType="image/svg+xml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360" w:lineRule="exact"/>
        <w:tabs>
          <w:tab w:val="left" w:pos="8080" w:leader="none"/>
        </w:tabs>
        <w:rPr>
          <w:rFonts w:ascii="Times New Roman" w:hAnsi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/>
          <w:color w:val="000000" w:themeColor="text1"/>
          <w:sz w:val="20"/>
          <w:szCs w:val="20"/>
          <w:highlight w:val="none"/>
          <w:lang w:eastAsia="ko-K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7620</wp:posOffset>
                </wp:positionH>
                <wp:positionV relativeFrom="page">
                  <wp:posOffset>546430</wp:posOffset>
                </wp:positionV>
                <wp:extent cx="7531100" cy="1955165"/>
                <wp:effectExtent l="0" t="0" r="0" b="6985"/>
                <wp:wrapNone/>
                <wp:docPr id="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0" cy="1955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907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eastAsia="ko-KR"/>
                              </w:rPr>
                            </w: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40743" cy="673557"/>
                                      <wp:effectExtent l="0" t="0" r="0" b="0"/>
                                      <wp:docPr id="2" name="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922687624" name="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2"/>
                                              <a:stretch/>
                                            </pic:blipFill>
                                            <pic:spPr bwMode="auto">
                                              <a:xfrm rot="0" flipH="0" flipV="0">
                                                <a:off x="0" y="0"/>
                                                <a:ext cx="540743" cy="67355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0" o:spid="_x0000_s0" type="#_x0000_t75" style="width:42.58pt;height:53.04pt;mso-wrap-distance-left:0.00pt;mso-wrap-distance-top:0.00pt;mso-wrap-distance-right:0.00pt;mso-wrap-distance-bottom:0.00pt;rotation:0;" stroked="false">
                                      <v:path textboxrect="0,0,0,0"/>
                                      <v:imagedata r:id="rId12" o:title=""/>
                                    </v:shape>
                                  </w:pict>
                                </mc:Fallback>
                              </mc:AlternateContent>
                            </w:r>
                            <w:r>
                              <w:rPr>
                                <w:lang w:val="en-US"/>
                              </w:rPr>
                            </w:r>
                            <w:r>
                              <w:rPr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915"/>
                              <w:jc w:val="center"/>
                              <w:spacing w:line="360" w:lineRule="auto"/>
                              <w:rPr>
                                <w:rFonts w:ascii="Times New Roman" w:hAnsi="Times New Roman"/>
                                <w:b/>
                                <w:i w:val="0"/>
                                <w:color w:val="auto"/>
                                <w:sz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 w:val="0"/>
                                <w:color w:val="auto"/>
                                <w:sz w:val="36"/>
                              </w:rPr>
                              <w:t xml:space="preserve">Пермская городская Дума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 w:val="0"/>
                                <w:color w:val="auto"/>
                                <w:sz w:val="36"/>
                                <w:lang w:val="en-US"/>
                              </w:rPr>
                              <w:t xml:space="preserve">VIII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 w:val="0"/>
                                <w:color w:val="auto"/>
                                <w:sz w:val="36"/>
                              </w:rPr>
                              <w:t xml:space="preserve"> созыва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 w:val="0"/>
                                <w:color w:val="auto"/>
                                <w:sz w:val="36"/>
                              </w:rPr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 w:val="0"/>
                                <w:color w:val="auto"/>
                                <w:sz w:val="36"/>
                              </w:rPr>
                            </w:r>
                          </w:p>
                          <w:p>
                            <w:pPr>
                              <w:jc w:val="center"/>
                              <w:spacing w:after="960"/>
                              <w:widowControl w:val="off"/>
                              <w:rPr>
                                <w:rFonts w:ascii="Times New Roman" w:hAnsi="Times New Roman"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32"/>
                              </w:rPr>
                              <w:t xml:space="preserve">Р Е Ш Е Н И Е</w:t>
                            </w:r>
                            <w:r>
                              <w:rPr>
                                <w:rFonts w:ascii="Times New Roman" w:hAnsi="Times New Roman"/>
                                <w:sz w:val="32"/>
                              </w:rPr>
                            </w:r>
                            <w:r>
                              <w:rPr>
                                <w:rFonts w:ascii="Times New Roman" w:hAnsi="Times New Roman"/>
                                <w:sz w:val="32"/>
                              </w:rPr>
                            </w:r>
                          </w:p>
                          <w:p>
                            <w:pPr>
                              <w:jc w:val="center"/>
                              <w:widowControl w:val="off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</w:r>
                            <w:r>
                              <w:rPr>
                                <w:szCs w:val="28"/>
                              </w:rPr>
                            </w:r>
                            <w:r>
                              <w:rPr>
                                <w:szCs w:val="28"/>
                              </w:rPr>
                            </w:r>
                          </w:p>
                          <w:p>
                            <w:pPr>
                              <w:jc w:val="center"/>
                              <w:widowControl w:val="off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</w:r>
                            <w:r>
                              <w:rPr>
                                <w:szCs w:val="28"/>
                              </w:rPr>
                            </w:r>
                            <w:r>
                              <w:rPr>
                                <w:szCs w:val="28"/>
                              </w:rPr>
                            </w:r>
                          </w:p>
                          <w:p>
                            <w:pPr>
                              <w:jc w:val="center"/>
                              <w:widowControl w:val="off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</w:r>
                            <w:r>
                              <w:rPr>
                                <w:szCs w:val="28"/>
                              </w:rPr>
                            </w:r>
                            <w:r>
                              <w:rPr>
                                <w:szCs w:val="28"/>
                              </w:rPr>
                            </w:r>
                          </w:p>
                          <w:p>
                            <w:pPr>
                              <w:jc w:val="center"/>
                              <w:widowControl w:val="off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</w:r>
                            <w:r>
                              <w:rPr>
                                <w:szCs w:val="28"/>
                              </w:rPr>
                            </w:r>
                            <w:r>
                              <w:rPr>
                                <w:szCs w:val="28"/>
                              </w:rPr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202" type="#_x0000_t202" style="position:absolute;z-index:251659264;o:allowoverlap:true;o:allowincell:true;mso-position-horizontal-relative:page;margin-left:0.60pt;mso-position-horizontal:absolute;mso-position-vertical-relative:page;margin-top:43.03pt;mso-position-vertical:absolute;width:593.00pt;height:153.95pt;mso-wrap-distance-left:9.00pt;mso-wrap-distance-top:0.00pt;mso-wrap-distance-right:9.00pt;mso-wrap-distance-bottom:0.00pt;v-text-anchor:top;visibility:visible;" fillcolor="#FFFFFF" stroked="f" strokeweight="0.75pt">
                <v:textbox inset="0,0,0,0">
                  <w:txbxContent>
                    <w:p>
                      <w:pPr>
                        <w:pStyle w:val="907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eastAsia="ko-KR"/>
                        </w:rPr>
                      </w: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40743" cy="673557"/>
                                <wp:effectExtent l="0" t="0" r="0" b="0"/>
                                <wp:docPr id="2" name="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22687624" name="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2"/>
                                        <a:stretch/>
                                      </pic:blipFill>
                                      <pic:spPr bwMode="auto">
                                        <a:xfrm rot="0" flipH="0" flipV="0">
                                          <a:off x="0" y="0"/>
                                          <a:ext cx="540743" cy="67355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0" o:spid="_x0000_s0" type="#_x0000_t75" style="width:42.58pt;height:53.04pt;mso-wrap-distance-left:0.00pt;mso-wrap-distance-top:0.00pt;mso-wrap-distance-right:0.00pt;mso-wrap-distance-bottom:0.00pt;rotation:0;" stroked="false">
                                <v:path textboxrect="0,0,0,0"/>
                                <v:imagedata r:id="rId12" o:title=""/>
                              </v:shape>
                            </w:pict>
                          </mc:Fallback>
                        </mc:AlternateContent>
                      </w:r>
                      <w:r>
                        <w:rPr>
                          <w:lang w:val="en-US"/>
                        </w:rPr>
                      </w:r>
                      <w:r>
                        <w:rPr>
                          <w:lang w:val="en-US"/>
                        </w:rPr>
                      </w:r>
                    </w:p>
                    <w:p>
                      <w:pPr>
                        <w:pStyle w:val="915"/>
                        <w:jc w:val="center"/>
                        <w:spacing w:line="360" w:lineRule="auto"/>
                        <w:rPr>
                          <w:rFonts w:ascii="Times New Roman" w:hAnsi="Times New Roman"/>
                          <w:b/>
                          <w:i w:val="0"/>
                          <w:color w:val="auto"/>
                          <w:sz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 w:val="0"/>
                          <w:color w:val="auto"/>
                          <w:sz w:val="36"/>
                        </w:rPr>
                        <w:t xml:space="preserve">Пермская городская Дума </w:t>
                      </w:r>
                      <w:r>
                        <w:rPr>
                          <w:rFonts w:ascii="Times New Roman" w:hAnsi="Times New Roman"/>
                          <w:b/>
                          <w:i w:val="0"/>
                          <w:color w:val="auto"/>
                          <w:sz w:val="36"/>
                          <w:lang w:val="en-US"/>
                        </w:rPr>
                        <w:t xml:space="preserve">VIII</w:t>
                      </w:r>
                      <w:r>
                        <w:rPr>
                          <w:rFonts w:ascii="Times New Roman" w:hAnsi="Times New Roman"/>
                          <w:b/>
                          <w:i w:val="0"/>
                          <w:color w:val="auto"/>
                          <w:sz w:val="36"/>
                        </w:rPr>
                        <w:t xml:space="preserve"> созыва</w:t>
                      </w:r>
                      <w:r>
                        <w:rPr>
                          <w:rFonts w:ascii="Times New Roman" w:hAnsi="Times New Roman"/>
                          <w:b/>
                          <w:i w:val="0"/>
                          <w:color w:val="auto"/>
                          <w:sz w:val="36"/>
                        </w:rPr>
                      </w:r>
                      <w:r>
                        <w:rPr>
                          <w:rFonts w:ascii="Times New Roman" w:hAnsi="Times New Roman"/>
                          <w:b/>
                          <w:i w:val="0"/>
                          <w:color w:val="auto"/>
                          <w:sz w:val="36"/>
                        </w:rPr>
                      </w:r>
                    </w:p>
                    <w:p>
                      <w:pPr>
                        <w:jc w:val="center"/>
                        <w:spacing w:after="960"/>
                        <w:widowControl w:val="off"/>
                        <w:rPr>
                          <w:rFonts w:ascii="Times New Roman" w:hAnsi="Times New Roman"/>
                          <w:sz w:val="32"/>
                        </w:rPr>
                      </w:pPr>
                      <w:r>
                        <w:rPr>
                          <w:rFonts w:ascii="Times New Roman" w:hAnsi="Times New Roman"/>
                          <w:sz w:val="32"/>
                        </w:rPr>
                        <w:t xml:space="preserve">Р Е Ш Е Н И Е</w:t>
                      </w:r>
                      <w:r>
                        <w:rPr>
                          <w:rFonts w:ascii="Times New Roman" w:hAnsi="Times New Roman"/>
                          <w:sz w:val="32"/>
                        </w:rPr>
                      </w:r>
                      <w:r>
                        <w:rPr>
                          <w:rFonts w:ascii="Times New Roman" w:hAnsi="Times New Roman"/>
                          <w:sz w:val="32"/>
                        </w:rPr>
                      </w:r>
                    </w:p>
                    <w:p>
                      <w:pPr>
                        <w:jc w:val="center"/>
                        <w:widowControl w:val="off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</w:r>
                      <w:r>
                        <w:rPr>
                          <w:szCs w:val="28"/>
                        </w:rPr>
                      </w:r>
                      <w:r>
                        <w:rPr>
                          <w:szCs w:val="28"/>
                        </w:rPr>
                      </w:r>
                    </w:p>
                    <w:p>
                      <w:pPr>
                        <w:jc w:val="center"/>
                        <w:widowControl w:val="off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</w:r>
                      <w:r>
                        <w:rPr>
                          <w:szCs w:val="28"/>
                        </w:rPr>
                      </w:r>
                      <w:r>
                        <w:rPr>
                          <w:szCs w:val="28"/>
                        </w:rPr>
                      </w:r>
                    </w:p>
                    <w:p>
                      <w:pPr>
                        <w:jc w:val="center"/>
                        <w:widowControl w:val="off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</w:r>
                      <w:r>
                        <w:rPr>
                          <w:szCs w:val="28"/>
                        </w:rPr>
                      </w:r>
                      <w:r>
                        <w:rPr>
                          <w:szCs w:val="28"/>
                        </w:rPr>
                      </w:r>
                    </w:p>
                    <w:p>
                      <w:pPr>
                        <w:jc w:val="center"/>
                        <w:widowControl w:val="off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</w:r>
                      <w:r>
                        <w:rPr>
                          <w:szCs w:val="28"/>
                        </w:rPr>
                      </w:r>
                      <w:r>
                        <w:rPr>
                          <w:szCs w:val="28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/>
          <w:color w:val="000000" w:themeColor="text1"/>
          <w:sz w:val="24"/>
          <w:szCs w:val="24"/>
          <w:highlight w:val="none"/>
          <w:lang w:eastAsia="ru-RU"/>
        </w:rPr>
        <w:t xml:space="preserve">Проект вносится Главой города Перми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24"/>
          <w:szCs w:val="24"/>
          <w:highlight w:val="none"/>
        </w:rPr>
      </w:r>
    </w:p>
    <w:p>
      <w:pPr>
        <w:ind w:firstLine="720"/>
        <w:jc w:val="center"/>
        <w:spacing w:after="0" w:line="240" w:lineRule="auto"/>
        <w:tabs>
          <w:tab w:val="center" w:pos="0" w:leader="none"/>
          <w:tab w:val="center" w:pos="4153" w:leader="none"/>
          <w:tab w:val="right" w:pos="8306" w:leader="none"/>
          <w:tab w:val="right" w:pos="9639" w:leader="none"/>
        </w:tabs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pP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</w:p>
    <w:p>
      <w:pPr>
        <w:ind w:firstLine="720"/>
        <w:jc w:val="center"/>
        <w:spacing w:after="0" w:line="240" w:lineRule="auto"/>
        <w:tabs>
          <w:tab w:val="center" w:pos="0" w:leader="none"/>
          <w:tab w:val="center" w:pos="4153" w:leader="none"/>
          <w:tab w:val="right" w:pos="8306" w:leader="none"/>
          <w:tab w:val="right" w:pos="9639" w:leader="none"/>
        </w:tabs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pP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</w:p>
    <w:p>
      <w:pPr>
        <w:ind w:firstLine="720"/>
        <w:jc w:val="center"/>
        <w:spacing w:after="0" w:line="240" w:lineRule="auto"/>
        <w:tabs>
          <w:tab w:val="center" w:pos="0" w:leader="none"/>
          <w:tab w:val="center" w:pos="4153" w:leader="none"/>
          <w:tab w:val="right" w:pos="8306" w:leader="none"/>
          <w:tab w:val="right" w:pos="9639" w:leader="none"/>
        </w:tabs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pP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</w:p>
    <w:p>
      <w:pPr>
        <w:ind w:firstLine="720"/>
        <w:jc w:val="center"/>
        <w:spacing w:after="0" w:line="240" w:lineRule="auto"/>
        <w:tabs>
          <w:tab w:val="center" w:pos="0" w:leader="none"/>
          <w:tab w:val="center" w:pos="4153" w:leader="none"/>
          <w:tab w:val="right" w:pos="8306" w:leader="none"/>
          <w:tab w:val="right" w:pos="9639" w:leader="none"/>
        </w:tabs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pP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</w:p>
    <w:p>
      <w:pPr>
        <w:ind w:firstLine="720"/>
        <w:jc w:val="center"/>
        <w:spacing w:after="0" w:line="240" w:lineRule="auto"/>
        <w:tabs>
          <w:tab w:val="center" w:pos="0" w:leader="none"/>
          <w:tab w:val="center" w:pos="4153" w:leader="none"/>
          <w:tab w:val="right" w:pos="8306" w:leader="none"/>
          <w:tab w:val="right" w:pos="9639" w:leader="none"/>
        </w:tabs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pP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</w:p>
    <w:p>
      <w:pPr>
        <w:ind w:firstLine="720"/>
        <w:jc w:val="center"/>
        <w:spacing w:after="0" w:line="240" w:lineRule="auto"/>
        <w:tabs>
          <w:tab w:val="center" w:pos="0" w:leader="none"/>
          <w:tab w:val="center" w:pos="4153" w:leader="none"/>
          <w:tab w:val="right" w:pos="8306" w:leader="none"/>
          <w:tab w:val="right" w:pos="9639" w:leader="none"/>
        </w:tabs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pP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</w:p>
    <w:p>
      <w:pPr>
        <w:ind w:firstLine="720"/>
        <w:jc w:val="center"/>
        <w:spacing w:after="0" w:line="240" w:lineRule="auto"/>
        <w:tabs>
          <w:tab w:val="center" w:pos="0" w:leader="none"/>
          <w:tab w:val="center" w:pos="4153" w:leader="none"/>
          <w:tab w:val="right" w:pos="8306" w:leader="none"/>
          <w:tab w:val="right" w:pos="9639" w:leader="none"/>
        </w:tabs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pP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</w:p>
    <w:p>
      <w:pPr>
        <w:ind w:firstLine="720"/>
        <w:jc w:val="center"/>
        <w:spacing w:after="0" w:line="240" w:lineRule="auto"/>
        <w:tabs>
          <w:tab w:val="center" w:pos="0" w:leader="none"/>
          <w:tab w:val="center" w:pos="4153" w:leader="none"/>
          <w:tab w:val="right" w:pos="8306" w:leader="none"/>
          <w:tab w:val="right" w:pos="9639" w:leader="none"/>
        </w:tabs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pP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</w:p>
    <w:p>
      <w:pPr>
        <w:ind w:firstLine="720"/>
        <w:jc w:val="center"/>
        <w:spacing w:after="0" w:line="240" w:lineRule="auto"/>
        <w:tabs>
          <w:tab w:val="center" w:pos="0" w:leader="none"/>
          <w:tab w:val="center" w:pos="4153" w:leader="none"/>
          <w:tab w:val="right" w:pos="8306" w:leader="none"/>
          <w:tab w:val="right" w:pos="9639" w:leader="none"/>
        </w:tabs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pP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</w:p>
    <w:p>
      <w:pPr>
        <w:ind w:firstLine="720"/>
        <w:jc w:val="center"/>
        <w:spacing w:after="0" w:line="240" w:lineRule="auto"/>
        <w:tabs>
          <w:tab w:val="center" w:pos="0" w:leader="none"/>
          <w:tab w:val="center" w:pos="4153" w:leader="none"/>
          <w:tab w:val="right" w:pos="8306" w:leader="none"/>
          <w:tab w:val="right" w:pos="9639" w:leader="none"/>
        </w:tabs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pP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</w:p>
    <w:p>
      <w:pPr>
        <w:ind w:firstLine="720"/>
        <w:jc w:val="center"/>
        <w:spacing w:after="0" w:line="240" w:lineRule="auto"/>
        <w:tabs>
          <w:tab w:val="center" w:pos="0" w:leader="none"/>
          <w:tab w:val="center" w:pos="4153" w:leader="none"/>
          <w:tab w:val="right" w:pos="8306" w:leader="none"/>
          <w:tab w:val="right" w:pos="9639" w:leader="none"/>
        </w:tabs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pP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</w:p>
    <w:p>
      <w:pPr>
        <w:ind w:firstLine="720"/>
        <w:jc w:val="center"/>
        <w:spacing w:after="0" w:line="240" w:lineRule="auto"/>
        <w:tabs>
          <w:tab w:val="center" w:pos="0" w:leader="none"/>
          <w:tab w:val="center" w:pos="4153" w:leader="none"/>
          <w:tab w:val="right" w:pos="8306" w:leader="none"/>
          <w:tab w:val="right" w:pos="9639" w:leader="none"/>
        </w:tabs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pP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</w:p>
    <w:p>
      <w:pPr>
        <w:ind w:firstLine="720"/>
        <w:jc w:val="center"/>
        <w:spacing w:after="0" w:line="240" w:lineRule="auto"/>
        <w:tabs>
          <w:tab w:val="center" w:pos="0" w:leader="none"/>
          <w:tab w:val="center" w:pos="4153" w:leader="none"/>
          <w:tab w:val="right" w:pos="8306" w:leader="none"/>
          <w:tab w:val="right" w:pos="9639" w:leader="none"/>
        </w:tabs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pP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</w:p>
    <w:p>
      <w:pPr>
        <w:ind w:firstLine="720"/>
        <w:jc w:val="center"/>
        <w:spacing w:after="0" w:line="240" w:lineRule="auto"/>
        <w:tabs>
          <w:tab w:val="center" w:pos="0" w:leader="none"/>
          <w:tab w:val="center" w:pos="4153" w:leader="none"/>
          <w:tab w:val="right" w:pos="8306" w:leader="none"/>
          <w:tab w:val="right" w:pos="9639" w:leader="none"/>
        </w:tabs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pP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</w:p>
    <w:p>
      <w:pPr>
        <w:ind w:firstLine="720"/>
        <w:jc w:val="center"/>
        <w:spacing w:after="0" w:line="240" w:lineRule="auto"/>
        <w:tabs>
          <w:tab w:val="center" w:pos="0" w:leader="none"/>
          <w:tab w:val="center" w:pos="4153" w:leader="none"/>
          <w:tab w:val="right" w:pos="8306" w:leader="none"/>
          <w:tab w:val="right" w:pos="9639" w:leader="none"/>
        </w:tabs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pP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</w:p>
    <w:p>
      <w:pPr>
        <w:ind w:firstLine="720"/>
        <w:jc w:val="center"/>
        <w:spacing w:after="0" w:line="240" w:lineRule="auto"/>
        <w:tabs>
          <w:tab w:val="center" w:pos="0" w:leader="none"/>
          <w:tab w:val="center" w:pos="4153" w:leader="none"/>
          <w:tab w:val="right" w:pos="8306" w:leader="none"/>
          <w:tab w:val="right" w:pos="9639" w:leader="none"/>
        </w:tabs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pP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</w:p>
    <w:p>
      <w:pPr>
        <w:ind w:firstLine="720"/>
        <w:jc w:val="center"/>
        <w:spacing w:after="0" w:line="240" w:lineRule="auto"/>
        <w:tabs>
          <w:tab w:val="center" w:pos="0" w:leader="none"/>
          <w:tab w:val="center" w:pos="4153" w:leader="none"/>
          <w:tab w:val="right" w:pos="8306" w:leader="none"/>
          <w:tab w:val="right" w:pos="9639" w:leader="none"/>
        </w:tabs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pP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</w:p>
    <w:p>
      <w:pPr>
        <w:ind w:firstLine="720"/>
        <w:jc w:val="center"/>
        <w:spacing w:after="0" w:line="240" w:lineRule="auto"/>
        <w:tabs>
          <w:tab w:val="center" w:pos="0" w:leader="none"/>
          <w:tab w:val="center" w:pos="4153" w:leader="none"/>
          <w:tab w:val="right" w:pos="8306" w:leader="none"/>
          <w:tab w:val="right" w:pos="9639" w:leader="none"/>
        </w:tabs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pP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</w:p>
    <w:p>
      <w:pPr>
        <w:ind w:firstLine="720"/>
        <w:jc w:val="center"/>
        <w:spacing w:after="0" w:line="240" w:lineRule="auto"/>
        <w:tabs>
          <w:tab w:val="center" w:pos="0" w:leader="none"/>
          <w:tab w:val="center" w:pos="4153" w:leader="none"/>
          <w:tab w:val="right" w:pos="8306" w:leader="none"/>
          <w:tab w:val="right" w:pos="9639" w:leader="none"/>
        </w:tabs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pP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</w:p>
    <w:p>
      <w:pPr>
        <w:ind w:firstLine="720"/>
        <w:jc w:val="center"/>
        <w:spacing w:after="0" w:line="240" w:lineRule="auto"/>
        <w:tabs>
          <w:tab w:val="center" w:pos="0" w:leader="none"/>
          <w:tab w:val="center" w:pos="4153" w:leader="none"/>
          <w:tab w:val="right" w:pos="8306" w:leader="none"/>
          <w:tab w:val="right" w:pos="9639" w:leader="none"/>
        </w:tabs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pP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</w:p>
    <w:p>
      <w:pPr>
        <w:ind w:firstLine="720"/>
        <w:jc w:val="center"/>
        <w:spacing w:after="0" w:line="240" w:lineRule="auto"/>
        <w:tabs>
          <w:tab w:val="center" w:pos="0" w:leader="none"/>
          <w:tab w:val="center" w:pos="4153" w:leader="none"/>
          <w:tab w:val="right" w:pos="8306" w:leader="none"/>
          <w:tab w:val="right" w:pos="9639" w:leader="none"/>
        </w:tabs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pP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16"/>
          <w:szCs w:val="24"/>
          <w:highlight w:val="none"/>
        </w:rPr>
      </w:r>
    </w:p>
    <w:p>
      <w:pPr>
        <w:jc w:val="center"/>
        <w:spacing w:after="480" w:line="240" w:lineRule="auto"/>
      </w:pPr>
      <w:r>
        <w:rPr>
          <w:rFonts w:ascii="Times New Roman" w:hAnsi="Times New Roman"/>
          <w:b/>
          <w:color w:val="000000" w:themeColor="text1"/>
          <w:sz w:val="28"/>
          <w:szCs w:val="28"/>
          <w:highlight w:val="none"/>
        </w:rPr>
        <w:t xml:space="preserve">О внесении изменений в р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none"/>
        </w:rPr>
        <w:t xml:space="preserve">ешение Пермской городской Думы от 26.10.2021 № 232 «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none"/>
        </w:rPr>
        <w:t xml:space="preserve">Об утверждении Плана мероприятий по реализации Стратегии социально-экономического развития муниципального образования город Пермь до 2030 года на период 2022-2026 годов»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none"/>
        </w:rPr>
      </w:r>
      <w:r/>
    </w:p>
    <w:p>
      <w:pPr>
        <w:pStyle w:val="896"/>
        <w:contextualSpacing w:val="0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На основании Устава города Перми,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р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ешения Пермской городской Думы от 23.08.2016 № 166 «Об утверждении Положения о стратегическом планировании в городе Перми»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contextualSpacing w:val="0"/>
        <w:jc w:val="center"/>
        <w:spacing w:before="240" w:after="24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Пермская городская Дума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р е ш и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л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 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none"/>
        </w:rPr>
        <w:t xml:space="preserve">: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1. Внести в решение Пермской городской Думы от 26.10.2021 № 232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Об утверждении Плана мероприятий по реализации Стратегии социально-экономического развития муниципального образования город Пермь до 2030 года на период 2022-2026 годов»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 (в редакции решений Пермской городской Думы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от 27.09.2022 № 209, от 22.08.2023 № 140, от 17.12.2024 № 220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, от 16.12.2025 № 237) изменения: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1.1 заголовок изложить в редакции: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Об утверждении Плана мероприятий по реализации Стратегии социально-экономического развития муниципального образования город Пермь до 2030 года на период 2022-2026 годов и на 2027 год»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1.2 пункт 1 после слов «2022-2026 годов» дополнить словами «и на 2027 год»;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vertAlign w:val="baseli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1.3 дополнить пунктом 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vertAlign w:val="superscript"/>
          <w:lang w:eastAsia="ru-RU"/>
        </w:rPr>
        <w:t xml:space="preserve">1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vertAlign w:val="baseline"/>
          <w:lang w:eastAsia="ru-RU"/>
        </w:rPr>
        <w:t xml:space="preserve">следующего содержания: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vertAlign w:val="baseli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vertAlign w:val="baseline"/>
        </w:rPr>
      </w:r>
    </w:p>
    <w:p>
      <w:pPr>
        <w:pStyle w:val="740"/>
        <w:contextualSpacing w:val="0"/>
        <w:ind w:firstLine="709"/>
        <w:jc w:val="both"/>
        <w:spacing w:line="240" w:lineRule="auto"/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  <w:t xml:space="preserve">«1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vertAlign w:val="superscript"/>
          <w:lang w:eastAsia="ru-RU"/>
        </w:rPr>
        <w:t xml:space="preserve">1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  <w:t xml:space="preserve">. Установить, что реализация Стратегии социально-экономического развития муниципального образования город Пермь до 2030 года в 2027 году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  <w:t xml:space="preserve">осуществляется на основании целей, задач, механизмов реализации, наименований целевых показателей, наименований индикатор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  <w:t xml:space="preserve">ов и индексов достижения целей, установленных в Плане на 2026 год.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740"/>
        <w:contextualSpacing w:val="0"/>
        <w:ind w:firstLine="709"/>
        <w:jc w:val="both"/>
        <w:spacing w:line="240" w:lineRule="auto"/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  <w:t xml:space="preserve">П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  <w:t xml:space="preserve">одготовк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  <w:t xml:space="preserve">а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  <w:t xml:space="preserve"> документов, в которых отражаются результаты мониторинга реализации документов стратегического планирования,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  <w:t xml:space="preserve">осуществляется с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  <w:t xml:space="preserve">учетом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  <w:t xml:space="preserve">подход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  <w:t xml:space="preserve">ов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  <w:t xml:space="preserve">, предусмотренны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  <w:t xml:space="preserve">х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  <w:t xml:space="preserve">абзацем первым настоящего пункта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  <w:t xml:space="preserve">.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  <w:t xml:space="preserve">»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  <w:t xml:space="preserve">;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spacing w:after="0" w:line="240" w:lineRule="auto"/>
        <w:rPr>
          <w:rFonts w:ascii="Times New Roman" w:hAnsi="Times New Roman" w:eastAsia="Times New Roman"/>
          <w:color w:val="000000" w:themeColor="text1"/>
          <w:highlight w:val="non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1.4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  <w:t xml:space="preserve">в Плане мероприятий по реализации Стратегии социально-экономического развития муниципального образования город Пермь до 2030 года на период 20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  <w:t xml:space="preserve">22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  <w:t xml:space="preserve">-20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  <w:t xml:space="preserve">26 годов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  <w:t xml:space="preserve">:</w:t>
      </w:r>
      <w:r>
        <w:rPr>
          <w:rFonts w:ascii="Times New Roman" w:hAnsi="Times New Roman" w:eastAsia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eastAsia="Times New Roman"/>
          <w:color w:val="000000" w:themeColor="text1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1.4.1 заголовок изложить в редакции: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План мероприятий по реализации Стратегии социально-экономического развития муниципального образования город Пермь до 2030 года на период 2022-2026 годов и на 2027 год»;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1.4.2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в графе 2 строки 12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раздела I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 части I: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1.4.2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t xml:space="preserve">.1 в подпункте 1.6 цифры «83,0» заменить цифрами «86,5»;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1.4.2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t xml:space="preserve">2 в подпункте 1.7 цифры «62,0» заменить цифрами «65,5»;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1.4.2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t xml:space="preserve">3 в подпункте 1.10 цифры «11,8» заменить цифрами «17,7»;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1.4.2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t xml:space="preserve">4 в подпункте 1.11 цифры «88,2» заменить цифрами «95,0»;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1.4.2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t xml:space="preserve">5 в подпункте 2.3 цифры «561,5» заменить цифрами «618,8»;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1.4.2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t xml:space="preserve">6 в подпункте 2.3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superscript"/>
          <w14:ligatures w14:val="none"/>
        </w:rPr>
        <w:t xml:space="preserve">1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  <w:t xml:space="preserve"> цифры «107,0» заменить цифрами «140,2»;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1.4.2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  <w:t xml:space="preserve">7 в подпункте 2.4 цифры «110500» заменить цифрами «108300»;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1.4.2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  <w:t xml:space="preserve">8 в подпункте 3.5 цифры «85,5» заменить цифрами «87,7»;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1.4.3 в части II: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  <w14:ligatures w14:val="none"/>
        </w:rPr>
        <w:t xml:space="preserve">1.4.3.1 в подразделе 1.2 раздела I: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  <w14:ligatures w14:val="none"/>
        </w:rPr>
        <w:t xml:space="preserve">1.4.3.1.1 в подпункте 1.2.6 цифры «83,0» заменить цифрами «86,5»;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  <w14:ligatures w14:val="none"/>
        </w:rPr>
        <w:t xml:space="preserve">1.4.3.1.2 в подпункте 1.2.7 цифры «62,0» заменить цифрами «65,5»;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  <w14:ligatures w14:val="none"/>
        </w:rPr>
        <w:t xml:space="preserve">1.4.3.1.3 в подпункте 1.2.10 цифры «11,8» заменить цифрами «17,7»;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  <w14:ligatures w14:val="none"/>
        </w:rPr>
        <w:t xml:space="preserve">1.4.3.1.4 в подпункте 1.2.11 цифры «88,2» заменить цифрами «95,0»;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1.4.3.2 в подразделе 2.2 раздела II: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1.4.3.2.1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в подпункте 2.2.3 цифры «561,5» заменить цифрами «618,8»;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1.4.3.2.2 в подпункте 2.2.3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superscript"/>
          <w:lang w:eastAsia="en-US"/>
        </w:rPr>
        <w:t xml:space="preserve">1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:lang w:eastAsia="en-US"/>
        </w:rPr>
        <w:t xml:space="preserve">цифры «107,0» заменить цифрами «140,2»;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:lang w:eastAsia="en-US"/>
        </w:rPr>
        <w:t xml:space="preserve">1.4.3.2.3 в подпункте 2.2.4 цифры «110500» заменить цифрами «108300»;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1.4.3.3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в подпункте 3.2.5 подраздела 3.2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раздела III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цифры «85,5»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заменить цифрами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 «87,7»;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  <w14:ligatures w14:val="none"/>
        </w:rPr>
        <w:t xml:space="preserve">1.4.4 в абзаце втором пункта 4 части III цифры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«2026» заменить цифрами «2027»;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1.4.5 в Прогнозе социально-экономических результатов на период 2022-2026 годов (приложение 1):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1.4.5.1 в графе 9 строки 9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</w:rPr>
        <w:t xml:space="preserve"> цифры «83,0» заменить цифрами «86,5»;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  <w14:ligatures w14:val="none"/>
        </w:rPr>
        <w:t xml:space="preserve">1.4.5.2 в графе 9 строки 10 цифры «62,0» заменить цифрами «65,5»;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  <w14:ligatures w14:val="none"/>
        </w:rPr>
        <w:t xml:space="preserve">1.4.5.3 в графе 9 строки 13 цифры «11,8» заменить цифрами «17,7»;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  <w14:ligatures w14:val="none"/>
        </w:rPr>
        <w:t xml:space="preserve">1.4.5.4 в графе 9 строки 14 цифры «88,2» заменить цифрами «95,0»;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  <w14:ligatures w14:val="none"/>
        </w:rPr>
        <w:t xml:space="preserve">1.4.5.5 в графе 9 строки 20 цифры «561,5» заменить цифрами «618,8»;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  <w14:ligatures w14:val="none"/>
        </w:rPr>
        <w:t xml:space="preserve">1.4.5.6 в графе 9 строки 21 цифры «107,0» заменить цифрами «140,2»;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  <w14:ligatures w14:val="none"/>
        </w:rPr>
        <w:t xml:space="preserve">1.4.5.7 в графе 9 строки 22 цифры «110500» заменить цифрами «108300»;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  <w14:ligatures w14:val="none"/>
        </w:rPr>
        <w:t xml:space="preserve">1.4.5.8 в графе 9 строки 31 цифры «85,5» заменить цифрами «87,7»;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  <w14:ligatures w14:val="none"/>
        </w:rPr>
        <w:t xml:space="preserve">1.4.6 дополнить приложением 1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superscript"/>
          <w:lang w:eastAsia="en-US"/>
          <w14:ligatures w14:val="none"/>
        </w:rPr>
        <w:t xml:space="preserve">1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:lang w:eastAsia="en-US"/>
          <w14:ligatures w14:val="none"/>
        </w:rPr>
        <w:t xml:space="preserve">«Прогноз социально-экономических результатов на 2027 год» согласно приложению 1 к настоящему решению;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  <w14:ligatures w14:val="none"/>
        </w:rPr>
        <w:t xml:space="preserve">1.4.7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  <w14:ligatures w14:val="non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  <w14:ligatures w14:val="none"/>
        </w:rPr>
        <w:t xml:space="preserve">в Примерном перечне муниципальных программ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  <w14:ligatures w14:val="none"/>
        </w:rPr>
      </w:r>
      <w:bookmarkStart w:id="0" w:name="undefined"/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  <w14:ligatures w14:val="none"/>
        </w:rPr>
      </w:r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  <w14:ligatures w14:val="none"/>
        </w:rPr>
        <w:t xml:space="preserve"> на период 2022-2026 годов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  <w14:ligatures w14:val="none"/>
        </w:rPr>
        <w:t xml:space="preserve"> (приложение 2) заголовок изложить в редакции: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  <w14:ligatures w14:val="none"/>
        </w:rPr>
        <w:t xml:space="preserve">«Примерный перечень муниципальных программ на период 2022-2026 годов и на 2027 год»;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  <w14:ligatures w14:val="none"/>
        </w:rPr>
        <w:t xml:space="preserve">1.4.8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  <w14:ligatures w14:val="none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:lang w:eastAsia="en-US"/>
        </w:rPr>
        <w:t xml:space="preserve">Методике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:lang w:eastAsia="en-US"/>
        </w:rPr>
        <w:t xml:space="preserve"> расчета целевых показателей и индикаторов Плана мероприятий по реализации Стратегии социально-экономического развития муниципального образования город Пермь до 2030 года на период 2022-2026 годов (приложение 3)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:lang w:eastAsia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:lang w:eastAsia="en-US"/>
        </w:rPr>
        <w:t xml:space="preserve">строки 4, 7, 14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superscript"/>
          <w:lang w:eastAsia="en-US"/>
        </w:rPr>
        <w:t xml:space="preserve">1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eastAsia="en-US"/>
          <w14:ligatures w14:val="non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:lang w:eastAsia="en-US"/>
        </w:rPr>
        <w:t xml:space="preserve">изложить в редакции согласно приложению 2 к настоящему решению;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</w:r>
    </w:p>
    <w:p>
      <w:pPr>
        <w:pStyle w:val="89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  <w:t xml:space="preserve">1.4.9 дополнить приложением 4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superscript"/>
          <w14:ligatures w14:val="none"/>
        </w:rPr>
        <w:t xml:space="preserve">1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14:ligatures w14:val="none"/>
        </w:rPr>
        <w:t xml:space="preserve"> «Методика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расчета индексов достижения целей Плана мероприятий по реализации Стратегии социально-экономического развития муниципального образования город Пермь до 2030 года в 2027 году» согласно приложению 3 к настоящему решению;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t xml:space="preserve">1.4.10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Значениях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индексов достижения целей Плана мероприятий </w:t>
        <w:br/>
        <w:t xml:space="preserve">по реализации Стратегии социально-экономического развития муниципального образования город Пермь до 2030 года на период 2022-2026 годов (приложение 5):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89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1.4.10.1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в гра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фе 9 строки 1 цифры «0,84» заменить цифрами «0,86»;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1.4.10.2 в графе 9 строки 3 цифры «0,89» заменит цифрами «1,00»;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89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1.4.11 дополнить приложением 5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superscript"/>
        </w:rPr>
        <w:t xml:space="preserve">1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</w:rPr>
        <w:t xml:space="preserve"> «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Значения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индексов достижения целей Плана мероприятий по реализации Стратегии социально-экономического развития муниципального образования город Пермь до 2030 года в 2027 году» согласно приложению 4 к настоящему решению;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:lang w:eastAsia="en-US"/>
        </w:rPr>
        <w:t xml:space="preserve">1.4.12 приложение 6 «Перечень и сведения о приоритетных проектах территориальных органов администрации города Перми» изложить в редакции согласно приложению 5 к настоящему решению.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baseline"/>
          <w:lang w:eastAsia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2. Настоящее решение вст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упает в силу со дня его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Пермь»,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за исключением подпункта 1.4.12, который вступает в силу с 01.01.2027.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ind w:firstLine="709"/>
        <w:jc w:val="both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3. Обнародовать настоящее реш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ение посредством официального опубликования в печатном </w:t>
      </w:r>
      <w:bookmarkStart w:id="0" w:name="_GoBack"/>
      <w:r>
        <w:rPr>
          <w:color w:val="000000" w:themeColor="text1"/>
          <w:highlight w:val="none"/>
        </w:rPr>
      </w:r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средстве массовой информации «Официальный бюллетень органов местного самоуправления муниципального образования город Пермь», а также в сетевом издании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«Официальный сайт муниципального образования город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 Пермь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  <w:lang w:val="en-US"/>
        </w:rPr>
        <w:t xml:space="preserve">www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  <w:lang w:val="en-US"/>
        </w:rPr>
        <w:t xml:space="preserve">gorodperm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  <w:lang w:val="en-US"/>
        </w:rPr>
        <w:t xml:space="preserve">ru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ind w:firstLine="709"/>
        <w:jc w:val="both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4. Контроль за исполнением настоящего решения возложить на комитет Пермской городской Думы по экономическому развитию.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Председатель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Пермской городской Думы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ab/>
        <w:t xml:space="preserve">     Д.В. Малютин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ectPr>
          <w:headerReference w:type="default" r:id="rId9"/>
          <w:footerReference w:type="default" r:id="rId10"/>
          <w:footerReference w:type="first" r:id="rId11"/>
          <w:footnotePr/>
          <w:endnotePr/>
          <w:type w:val="nextPage"/>
          <w:pgSz w:w="11906" w:h="16838" w:orient="portrait"/>
          <w:pgMar w:top="363" w:right="567" w:bottom="1134" w:left="1417" w:header="709" w:footer="709" w:gutter="0"/>
          <w:cols w:num="1" w:sep="0" w:space="708" w:equalWidth="1"/>
          <w:docGrid w:linePitch="360"/>
          <w:titlePg/>
        </w:sect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Глава города Перми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ab/>
        <w:t xml:space="preserve">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Э.О. Соснин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ind w:left="652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ПРИЛОЖЕНИЕ 1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ind w:left="652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к решению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ind w:left="652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Пермской городской Думы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ind w:left="652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ind w:left="0" w:right="0" w:firstLine="0"/>
        <w:jc w:val="center"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ПРОГНОЗ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ind w:left="0" w:right="0" w:firstLine="0"/>
        <w:jc w:val="center"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социально-экономических результатов на 2027 год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jc w:val="both"/>
        <w:rPr>
          <w:color w:val="000000" w:themeColor="text1"/>
          <w:highlight w:val="none"/>
        </w:rPr>
      </w:pP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0" w:type="dxa"/>
          <w:right w:w="62" w:type="dxa"/>
          <w:bottom w:w="0" w:type="dxa"/>
        </w:tblCellMar>
        <w:tblLook w:val="04A0" w:firstRow="1" w:lastRow="0" w:firstColumn="1" w:lastColumn="0" w:noHBand="0" w:noVBand="1"/>
      </w:tblPr>
      <w:tblGrid>
        <w:gridCol w:w="7937"/>
        <w:gridCol w:w="1843"/>
      </w:tblGrid>
      <w:tr>
        <w:tblPrEx/>
        <w:trPr>
          <w:trHeight w:val="0"/>
        </w:trPr>
        <w:tc>
          <w:tcPr>
            <w:tcW w:w="7937" w:type="dxa"/>
            <w:vAlign w:val="top"/>
            <w:vMerge w:val="restart"/>
            <w:textDirection w:val="lrTb"/>
            <w:noWrap w:val="false"/>
          </w:tcPr>
          <w:p>
            <w:pPr>
              <w:pStyle w:val="896"/>
              <w:ind w:left="0" w:right="0" w:firstLine="0"/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highlight w:val="none"/>
              </w:rPr>
              <w:t xml:space="preserve">Наименование целевого показателя/индикатора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96"/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2027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</w:tr>
      <w:tr>
        <w:tblPrEx/>
        <w:trPr>
          <w:trHeight w:val="0"/>
        </w:trPr>
        <w:tc>
          <w:tcPr>
            <w:tcW w:w="793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96"/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прогноз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</w:tr>
    </w:tbl>
    <w:p>
      <w:pPr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"/>
          <w:szCs w:val="2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"/>
          <w:szCs w:val="2"/>
          <w:highlight w:val="none"/>
        </w:rPr>
      </w:r>
      <w:r>
        <w:rPr>
          <w:rFonts w:ascii="Times New Roman" w:hAnsi="Times New Roman" w:cs="Times New Roman"/>
          <w:color w:val="000000" w:themeColor="text1"/>
          <w:sz w:val="2"/>
          <w:szCs w:val="2"/>
          <w:highlight w:val="none"/>
        </w:rPr>
      </w:r>
      <w:r>
        <w:rPr>
          <w:rFonts w:ascii="Times New Roman" w:hAnsi="Times New Roman" w:cs="Times New Roman"/>
          <w:color w:val="000000" w:themeColor="text1"/>
          <w:sz w:val="2"/>
          <w:szCs w:val="2"/>
          <w:highlight w:val="none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0" w:type="dxa"/>
          <w:right w:w="62" w:type="dxa"/>
          <w:bottom w:w="0" w:type="dxa"/>
        </w:tblCellMar>
        <w:tblLook w:val="04A0" w:firstRow="1" w:lastRow="0" w:firstColumn="1" w:lastColumn="0" w:noHBand="0" w:noVBand="1"/>
      </w:tblPr>
      <w:tblGrid>
        <w:gridCol w:w="7937"/>
        <w:gridCol w:w="1843"/>
      </w:tblGrid>
      <w:tr>
        <w:tblPrEx/>
        <w:trPr>
          <w:trHeight w:val="0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vAlign w:val="center"/>
            <w:vMerge w:val="restart"/>
            <w:textDirection w:val="lrTb"/>
            <w:noWrap w:val="false"/>
          </w:tcPr>
          <w:p>
            <w:pPr>
              <w:pStyle w:val="896"/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896"/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</w:tr>
      <w:tr>
        <w:tblPrEx/>
        <w:trPr>
          <w:trHeight w:val="0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0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  <w:outlineLvl w:val="2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Повышение качества жизни населения на основе инновационного развития экономики города Перми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0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highlight w:val="none"/>
              </w:rPr>
              <w:outlineLvl w:val="2"/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8"/>
                <w:szCs w:val="28"/>
                <w:highlight w:val="none"/>
              </w:rPr>
              <w:t xml:space="preserve">ФЦН «Человеческий капитал»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0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Обеспечение условий для развития человеческого потенциала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01. Ожидаемая продолжительность жизни при рождении, лет (индикатор)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Х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02. Коэффициент рождаемости, промилле (индикатор)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Х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03. Коэффициент смертности, промилле (индикатор)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Х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1. Доступность дошкольного образования детей в возрасте до 8 лет, %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100,0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2. Доля общеобразовательных организаций, укомплектованных в соответствии с нормативной наполняемостью, %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86,0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  <w14:ligatures w14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3. Доля детей в возрасте от 5 до 18 лет, охваченных дополнительным образованием, %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87,0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4. Доля граждан, систематически занимающихся физической культурой и спортом, %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66,5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5. Уровень обеспеченности граждан спортивными сооружениями исходя из единовременной пропускной способности объектов спорта, %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66,4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6. Увеличение числа посещений культурных мероприятий, %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218,0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7. Доля граждан, занимающихся волонтерской (добровольческой) деятельностью или вовлеченных в деятельность волонтерских (добровольческих) организаций, %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17,8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vAlign w:val="center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vertAlign w:val="superscript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. Доля лиц,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получивших адресную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социальную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муниципальную помощь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и дополнительные меры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социальной поддержки,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от общего числа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обратившихся граждан,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имеющих право на их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получение, 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97,0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vAlign w:val="center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vertAlign w:val="superscript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. Доля граждан,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положительно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оценивающих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деятельность социально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ориентированных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некоммерческих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организаций, от общей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численности опрошенных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граждан, получивших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услуги некоммерческих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организаций, 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90,5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0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highlight w:val="none"/>
              </w:rPr>
              <w:outlineLvl w:val="2"/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8"/>
                <w:szCs w:val="28"/>
                <w:highlight w:val="none"/>
              </w:rPr>
              <w:t xml:space="preserve">ФЦН «Экономический рост»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0" w:type="dxa"/>
            <w:textDirection w:val="lrTb"/>
            <w:noWrap w:val="false"/>
          </w:tcPr>
          <w:p>
            <w:pPr>
              <w:pStyle w:val="896"/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Обеспечение сбалансированного экономического развития города Перми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8. Объем инвестиций в основной капитал за счет всех источников финансирования в расчете на душу населения, тыс. руб. (индикатор)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356,4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9. Объем финансовых средств, привлеченных организациями, осуществляющими инновационную деятельность, на реализацию инновационных проектов в рамках участия в федеральных программах, млн. руб.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100,0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10. Число субъектов малого и среднего предпринимательства на 10 тыс. чел. населения, ед.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621,3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vertAlign w:val="superscript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. Количество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самозанятых граждан,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тыс. чел.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146,7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11. Среднемесячная номинальная начисленная заработная плата работников крупных и средних организаций, руб.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116100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vertAlign w:val="superscript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. Оборот розничной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торговли на душу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населения, тыс. руб.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(индикатор)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316,3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0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highlight w:val="none"/>
              </w:rPr>
              <w:outlineLvl w:val="2"/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8"/>
                <w:szCs w:val="28"/>
                <w:highlight w:val="none"/>
              </w:rPr>
              <w:t xml:space="preserve">ФЦН «Комфортная среда для жизни»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0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Формирование комфортной городской среды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12. Объем жилищного строительства, тыс. кв. м (индикатор)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660,8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13. Площадь расселенного непригодного для проживания жилищного фонда, тыс. кв. м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30,0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14. Индекс качества городской среды, балл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Х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vertAlign w:val="superscript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. Улучшение качества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среды для жизни в опорных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населенных пунктах, 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Х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15. Доля граждан, принявших участие в решении вопросов развития городской среды, от общего количества граждан в возрасте от 14 лет, проживающих в городе Перми, %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40,0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16. Доля автомобильных дорог общего пользования местного значения города Перми, отвечающих нормативным требованиям, от общей площади автомобильных дорог общего пользования местного значения города Перми, %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87,8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17. Смертность от дорожно-транспортных происшествий, случаев на 100 тыс. населения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не более 4,0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18. Удельный вес улиц, проездов, набережных, обеспеченных уличным освещением, %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94,6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19. Количество перевезенных пассажиров на муниципальных маршрутах регулярных перевозок города Перми в год, млн. чел. (индикатор)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218,0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20. Доля массовых социально значимых услуг, доступных в электронном виде, %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100,0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21. Доля особо охраняемых природных территорий, на которых создана инфраструктура для развития экологического туризма, от общего количества особо охраняемых природных территорий, предназначенных для развития экологического туризма, %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100,0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22. Уровень преступности, случаев на 10 тыс. чел. населения (индикатор)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183,0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</w:tr>
    </w:tbl>
    <w:p>
      <w:pPr>
        <w:pStyle w:val="896"/>
        <w:contextualSpacing w:val="0"/>
        <w:ind w:left="0" w:right="0" w:firstLine="0"/>
        <w:jc w:val="center"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  <w:sectPr>
          <w:footnotePr/>
          <w:endnotePr/>
          <w:type w:val="nextPage"/>
          <w:pgSz w:w="11906" w:h="16838" w:orient="portrait"/>
          <w:pgMar w:top="1213" w:right="567" w:bottom="1134" w:left="1417" w:header="709" w:footer="709" w:gutter="0"/>
          <w:pgNumType w:start="1"/>
          <w:cols w:num="1" w:sep="0" w:space="708" w:equalWidth="1"/>
          <w:docGrid w:linePitch="360"/>
          <w:titlePg/>
        </w:sectPr>
        <w:suppressLineNumbers w:val="0"/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ind w:left="11197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ПРИЛОЖЕНИЕ 2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ind w:left="11197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к решению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ind w:left="11197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Пермской городской Думы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ind w:left="0" w:right="0" w:firstLine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ind w:left="0" w:right="0" w:firstLine="0"/>
        <w:jc w:val="center"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СТРОКИ,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jc w:val="center"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предлагаемые к изменению в Методике расчета целевых показателей и индикаторов Плана мероприятий по реализации Стратегии социально-экономического развития муниципального образования город Пермь до 2030 года на период 2022-2026 годов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0" w:type="dxa"/>
          <w:right w:w="62" w:type="dxa"/>
          <w:bottom w:w="0" w:type="dxa"/>
        </w:tblCellMar>
        <w:tblLook w:val="04A0" w:firstRow="1" w:lastRow="0" w:firstColumn="1" w:lastColumn="0" w:noHBand="0" w:noVBand="1"/>
      </w:tblPr>
      <w:tblGrid>
        <w:gridCol w:w="567"/>
        <w:gridCol w:w="2324"/>
        <w:gridCol w:w="3345"/>
        <w:gridCol w:w="2869"/>
        <w:gridCol w:w="3005"/>
        <w:gridCol w:w="2205"/>
      </w:tblGrid>
      <w:tr>
        <w:tblPrEx/>
        <w:trPr>
          <w:trHeight w:val="0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896"/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2324" w:type="dxa"/>
            <w:vMerge w:val="restart"/>
            <w:textDirection w:val="lrTb"/>
            <w:noWrap w:val="false"/>
          </w:tcPr>
          <w:p>
            <w:pPr>
              <w:pStyle w:val="896"/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Наименование целевого показателя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3345" w:type="dxa"/>
            <w:vMerge w:val="restart"/>
            <w:textDirection w:val="lrTb"/>
            <w:noWrap w:val="false"/>
          </w:tcPr>
          <w:p>
            <w:pPr>
              <w:pStyle w:val="896"/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Формула расчета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2869" w:type="dxa"/>
            <w:vMerge w:val="restart"/>
            <w:textDirection w:val="lrTb"/>
            <w:noWrap w:val="false"/>
          </w:tcPr>
          <w:p>
            <w:pPr>
              <w:pStyle w:val="896"/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Методология расчета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3005" w:type="dxa"/>
            <w:vMerge w:val="restart"/>
            <w:textDirection w:val="lrTb"/>
            <w:noWrap w:val="false"/>
          </w:tcPr>
          <w:p>
            <w:pPr>
              <w:pStyle w:val="896"/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Источник информации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2205" w:type="dxa"/>
            <w:vMerge w:val="restart"/>
            <w:textDirection w:val="lrTb"/>
            <w:noWrap w:val="false"/>
          </w:tcPr>
          <w:p>
            <w:pPr>
              <w:pStyle w:val="896"/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Периодичность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</w:tbl>
    <w:p>
      <w:pPr>
        <w:pStyle w:val="896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"/>
          <w:szCs w:val="2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"/>
          <w:szCs w:val="2"/>
          <w:highlight w:val="none"/>
        </w:rPr>
      </w:r>
      <w:r>
        <w:rPr>
          <w:rFonts w:ascii="Times New Roman" w:hAnsi="Times New Roman" w:cs="Times New Roman"/>
          <w:color w:val="000000" w:themeColor="text1"/>
          <w:sz w:val="2"/>
          <w:szCs w:val="2"/>
          <w:highlight w:val="none"/>
        </w:rPr>
      </w:r>
      <w:r>
        <w:rPr>
          <w:rFonts w:ascii="Times New Roman" w:hAnsi="Times New Roman" w:cs="Times New Roman"/>
          <w:color w:val="000000" w:themeColor="text1"/>
          <w:sz w:val="2"/>
          <w:szCs w:val="2"/>
          <w:highlight w:val="none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0" w:type="dxa"/>
          <w:right w:w="62" w:type="dxa"/>
          <w:bottom w:w="0" w:type="dxa"/>
        </w:tblCellMar>
        <w:tblLook w:val="04A0" w:firstRow="1" w:lastRow="0" w:firstColumn="1" w:lastColumn="0" w:noHBand="0" w:noVBand="1"/>
      </w:tblPr>
      <w:tblGrid>
        <w:gridCol w:w="567"/>
        <w:gridCol w:w="2324"/>
        <w:gridCol w:w="3345"/>
        <w:gridCol w:w="2869"/>
        <w:gridCol w:w="3005"/>
        <w:gridCol w:w="2205"/>
      </w:tblGrid>
      <w:tr>
        <w:tblPrEx/>
        <w:trPr>
          <w:trHeight w:val="0"/>
          <w:tblHeader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896"/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2324" w:type="dxa"/>
            <w:vMerge w:val="restart"/>
            <w:textDirection w:val="lrTb"/>
            <w:noWrap w:val="false"/>
          </w:tcPr>
          <w:p>
            <w:pPr>
              <w:pStyle w:val="896"/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3345" w:type="dxa"/>
            <w:vMerge w:val="restart"/>
            <w:textDirection w:val="lrTb"/>
            <w:noWrap w:val="false"/>
          </w:tcPr>
          <w:p>
            <w:pPr>
              <w:pStyle w:val="896"/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2869" w:type="dxa"/>
            <w:vMerge w:val="restart"/>
            <w:textDirection w:val="lrTb"/>
            <w:noWrap w:val="false"/>
          </w:tcPr>
          <w:p>
            <w:pPr>
              <w:pStyle w:val="896"/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3005" w:type="dxa"/>
            <w:vMerge w:val="restart"/>
            <w:textDirection w:val="lrTb"/>
            <w:noWrap w:val="false"/>
          </w:tcPr>
          <w:p>
            <w:pPr>
              <w:pStyle w:val="896"/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2205" w:type="dxa"/>
            <w:vMerge w:val="restart"/>
            <w:textDirection w:val="lrTb"/>
            <w:noWrap w:val="false"/>
          </w:tcPr>
          <w:p>
            <w:pPr>
              <w:pStyle w:val="896"/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W w:w="567" w:type="dxa"/>
            <w:textDirection w:val="lrTb"/>
            <w:noWrap w:val="false"/>
          </w:tcPr>
          <w:p>
            <w:pPr>
              <w:pStyle w:val="896"/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2324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Доля граждан, систематически занимающихся физической культурой и спортом, %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3345" w:type="dxa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Дз = (Чд * ПКд + Чсс * ПКс + Чмс) / (ЧН - Чмп) * 100%, </w:t>
            </w:r>
            <w:r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где:</w:t>
              <w:br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Чд – численность детей, занимающихся физи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ческой культурой </w:t>
              <w:br/>
              <w:t xml:space="preserve">и спортом в соответств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ии с федеральными государственными образовательными 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тандартами (далее – ФГОС),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рассчитываемая </w:t>
              <w:br/>
              <w:t xml:space="preserve">в соответствии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</w:t>
              <w:br/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формулой: </w:t>
            </w:r>
            <w:r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Чд = Чд1 + Чд2 + Чд3,</w:t>
            </w:r>
            <w:r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где: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Чд1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– численность воспитанников дошкольных образовательных организаций,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чел.;</w:t>
            </w:r>
            <w:r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color w:val="ff0000" w:themeColor="text1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Чд2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численность учащихся общеобразовательных организаций, чел.;</w:t>
            </w:r>
            <w:r>
              <w:rPr>
                <w:rFonts w:ascii="Times New Roman" w:hAnsi="Times New Roman" w:cs="Times New Roman"/>
                <w:color w:val="ff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ff0000" w:themeColor="text1"/>
                <w:highlight w:val="none"/>
                <w14:ligatures w14:val="none"/>
              </w:rPr>
            </w:r>
          </w:p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color w:val="ff0000" w:themeColor="text1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Чд3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численность обучающихся </w:t>
              <w:br/>
              <w:t xml:space="preserve">по программам среднего профессионального образования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чел.;</w:t>
            </w:r>
            <w:r>
              <w:rPr>
                <w:rFonts w:ascii="Times New Roman" w:hAnsi="Times New Roman" w:cs="Times New Roman"/>
                <w:color w:val="ff0000" w:themeColor="text1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ff0000" w:themeColor="text1"/>
                <w:highlight w:val="none"/>
                <w14:ligatures w14:val="none"/>
              </w:rPr>
            </w:r>
          </w:p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ПКд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поправочный коэффициент, устанавливающий долю детей, посещавших занятия по физической культуре, в соответствии </w:t>
              <w:br/>
              <w:t xml:space="preserve">с данными организаций – разработчиков электронных дневников </w:t>
              <w:br/>
              <w:t xml:space="preserve">и журналов, равный 0,8;</w:t>
            </w:r>
            <w:r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Чсс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численность студентов, занимающихся физической культурой </w:t>
              <w:br/>
              <w:t xml:space="preserve">и спортом </w:t>
              <w:br/>
              <w:t xml:space="preserve">в образовательных организациях высшего образования, чел.;</w:t>
            </w:r>
            <w:r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ПКс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поправочный коэффициент, устанавливающий долю Чсс вследствие того, что занятия физической культурой и спортом являются обязательными только для половины студентов (обучающихся на младших курсах), равный 0,5;</w:t>
            </w:r>
            <w:r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Чмс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численность граждан, систематически занимающихся физической культурой </w:t>
              <w:br/>
              <w:t xml:space="preserve">и массовым спортом, </w:t>
              <w:br/>
              <w:t xml:space="preserve">в возрасте от 18 до 79 лет,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рассчитываемая </w:t>
              <w:br/>
              <w:t xml:space="preserve">в соответствии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</w:t>
              <w:br/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формулой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Чмс = Чмс1 + Чмс2, </w:t>
            </w:r>
            <w:r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где: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Чмс1 – суммарная численность граждан </w:t>
              <w:br/>
              <w:t xml:space="preserve">в возрасте от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18 до 79 лет, занимающихся физической культурой </w:t>
              <w:br/>
              <w:t xml:space="preserve">и спортом </w:t>
              <w:br/>
              <w:t xml:space="preserve">на предприятиях, </w:t>
              <w:br/>
              <w:t xml:space="preserve">в учреждениях, организациях, включая учреждения </w:t>
              <w:br/>
              <w:t xml:space="preserve">и организации при спортивных организациях,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чел.;</w:t>
            </w:r>
            <w:r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Чмс2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суммарная численность граждан </w:t>
              <w:br/>
              <w:t xml:space="preserve">в возрасте от 18 до 79 лет, посещающих физкультурно-оздоровительные клубы </w:t>
              <w:br/>
              <w:t xml:space="preserve">и другие организ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ации, оказывающие услуги населению в сфере физической культуры </w:t>
              <w:br/>
              <w:t xml:space="preserve">и спорта, в том числе </w:t>
              <w:br/>
              <w:t xml:space="preserve">в сфере адаптивной физической культуры </w:t>
              <w:br/>
              <w:t xml:space="preserve">и спорта, и не учтенные </w:t>
              <w:br/>
              <w:t xml:space="preserve">в компоненте Чмс1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, чел.;</w:t>
            </w:r>
            <w:r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ff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ЧН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общая числен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ность населения в возрасте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3-79 лет, чел.;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Чмп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численность граждан, состоящих на учете в медицинской организации, имеющих противопоказания для занятий физической культурой и спортом, чел.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  <w14:ligatures w14:val="none"/>
              </w:rPr>
            </w:r>
          </w:p>
        </w:tc>
        <w:tc>
          <w:tcPr>
            <w:tcW w:w="2869" w:type="dxa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color w:val="ff0000" w:themeColor="text1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ассчитывается как процентное отношение суммы численности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детей, занимающихся физической культурой </w:t>
              <w:br/>
              <w:t xml:space="preserve">и спортом </w:t>
              <w:br/>
              <w:t xml:space="preserve">в соответствии </w:t>
              <w:br/>
              <w:t xml:space="preserve">с федеральными государственными образовательными 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тандартами (с учетом поправочного коэффициента),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численности студентов, занимающихся физической культурой </w:t>
              <w:br/>
              <w:t xml:space="preserve">и спортом </w:t>
              <w:br/>
              <w:t xml:space="preserve">в образовательных организациях высшего образования (с учетом поправочного коэффициента), </w:t>
              <w:br/>
              <w:t xml:space="preserve">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численности граждан, систематически занимающихся физической культурой </w:t>
              <w:br/>
              <w:t xml:space="preserve">и массовым спортом, </w:t>
              <w:br/>
              <w:t xml:space="preserve">в возрасте от 18 до 79 лет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к общей численности населения в возрасте от 3 до 79 лет </w:t>
              <w:br/>
              <w:t xml:space="preserve">за вычетом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численности граждан, состоящих на учете </w:t>
              <w:br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в медицинской организации, имеющих противопоказания для занятий физической культурой и спортом</w:t>
            </w:r>
            <w:r>
              <w:rPr>
                <w:rFonts w:ascii="Times New Roman" w:hAnsi="Times New Roman" w:cs="Times New Roman"/>
                <w:color w:val="ff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ff0000" w:themeColor="text1"/>
                <w:highlight w:val="none"/>
              </w:rPr>
            </w:r>
          </w:p>
          <w:p>
            <w:pPr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3005" w:type="dxa"/>
            <w:textDirection w:val="lrTb"/>
            <w:noWrap w:val="false"/>
          </w:tcPr>
          <w:p>
            <w:pPr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none"/>
              </w:rPr>
              <w:t xml:space="preserve">функциональный орган (подразделение) администрации города Перми, осуществляющий(ее) функции управления </w:t>
              <w:br/>
              <w:t xml:space="preserve">в сфере физической культуры и спорта (форма статистического наблюдения </w:t>
              <w:br/>
              <w:t xml:space="preserve">№ 1-ФК «Сведения </w:t>
              <w:br/>
              <w:t xml:space="preserve">о физической культуре и спорте»), Пермьстат,</w:t>
            </w:r>
            <w:r>
              <w:rPr>
                <w:rFonts w:ascii="Times New Roman" w:hAnsi="Times New Roman" w:eastAsia="Times New Roman" w:cs="Times New Roman"/>
                <w:strike/>
                <w:color w:val="000000" w:themeColor="text1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val="ru-RU"/>
              </w:rPr>
              <w:t xml:space="preserve">формы федерального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val="ru-RU"/>
              </w:rPr>
              <w:t xml:space="preserve">статистического наблюдения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val="ru-RU"/>
              </w:rPr>
              <w:t xml:space="preserve"> </w:t>
              <w:br/>
              <w:t xml:space="preserve">№ 85-К «Сведения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val="ru-RU"/>
              </w:rPr>
              <w:t xml:space="preserve"> </w:t>
              <w:br/>
              <w:t xml:space="preserve">о деятельности организации, осуществляющей образовательную деятельность </w:t>
              <w:br/>
              <w:t xml:space="preserve">по образовательным программам дошкольного образования, присмотр и уход за детьми», </w:t>
              <w:br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val="ru-RU"/>
              </w:rPr>
              <w:t xml:space="preserve">№ ОО-1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val="ru-RU"/>
              </w:rPr>
              <w:t xml:space="preserve"> «Сведения </w:t>
              <w:br/>
              <w:t xml:space="preserve">об 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рганизаци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и, осуществляющей образовательную деятельность </w:t>
              <w:br/>
              <w:t xml:space="preserve">по образовательным программам начального общего, основного общего, среднего общего образования»,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№ СПО-1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«Сведения </w:t>
              <w:br/>
              <w:t xml:space="preserve">об 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бразовательной организации, осуществляющей образовательную деятельность </w:t>
              <w:br/>
              <w:t xml:space="preserve">по образовательным программам среднего профессионального образования», № ВПО-1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«Сведения </w:t>
              <w:br/>
              <w:t xml:space="preserve">об организации, осуществляющей образовател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ьную деятельность </w:t>
              <w:br/>
              <w:t xml:space="preserve">по образовательным программам высшего образования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программам бакалавриата, программам специалитета, программам магистратуры»,  </w:t>
              <w:br/>
              <w:t xml:space="preserve">№ 30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«Сведения </w:t>
              <w:br/>
              <w:t xml:space="preserve">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медицинской организации», сведения Министерства физической культуры </w:t>
              <w:br/>
              <w:t xml:space="preserve">и спорта Пермского края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</w:tc>
        <w:tc>
          <w:tcPr>
            <w:tcW w:w="2205" w:type="dxa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ежегодно – не позднее 5 марта года, следующего </w:t>
              <w:br/>
              <w:t xml:space="preserve">за отчетным годом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896"/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2324" w:type="dxa"/>
            <w:vMerge w:val="restart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Доля граждан, занимающихся волонтерской (добровольчес-кой) деятельностью или вовлеченных в деятельность волонтерских (добровольчес-ких) организаций, %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3345" w:type="dxa"/>
            <w:vMerge w:val="restart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ДГ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vertAlign w:val="subscript"/>
              </w:rPr>
              <w:t xml:space="preserve">вл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= КГ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vertAlign w:val="subscript"/>
              </w:rPr>
              <w:t xml:space="preserve">вл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/ ЧГ x 100 %, где: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КГ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vertAlign w:val="subscript"/>
              </w:rPr>
              <w:t xml:space="preserve">вл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общая численность граждан, вовлеченных центрами (сообществами, объединениями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)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поддержки волонтерства (добровольчества) на базе образовательных организаций, некоммерческих организаций, государственных </w:t>
              <w:br/>
              <w:t xml:space="preserve">и муниципальных учреждений </w:t>
              <w:br/>
              <w:t xml:space="preserve">в волонтерскую (добровольческую) деятельность на отчетную дату отчетного периода (прошедшего года), чел.;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ЧГ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численность населения города Перми в возрасте от 7 лет и старше соответствующего отчетного периода (прошедшего года), чел.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2869" w:type="dxa"/>
            <w:vMerge w:val="restart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рассчитывается как процентное отношение суммарного количества граждан, вовлеченных центрами (сообществами, объедине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ниям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и) поддержки волонтерства (добровольчества) </w:t>
              <w:br/>
              <w:t xml:space="preserve">на базе образовательных организаций, некоммерческих организаций, государственных </w:t>
              <w:br/>
              <w:t xml:space="preserve">и муниципальных учреждений </w:t>
              <w:br/>
              <w:t xml:space="preserve">в волонтерскую (добровольческую) деятельность, </w:t>
              <w:br/>
              <w:t xml:space="preserve">к населению города Перми в возрасте от 7 лет и старше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3005" w:type="dxa"/>
            <w:vMerge w:val="restart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функциональный орган (подразделение) администрации города Перми, осуществляющий(ее) функции управления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</w:t>
              <w:br/>
              <w:t xml:space="preserve">в сфере общественных отношений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в сфере культуры </w:t>
              <w:br/>
              <w:t xml:space="preserve">и молодежной политики,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образования,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социальной политики, экологии </w:t>
              <w:br/>
              <w:t xml:space="preserve">и природопользования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физической культуры </w:t>
              <w:br/>
              <w:t xml:space="preserve">и спорта, территориальные органы администрации города Перми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(данные, опубликованные в АИС «Молодежь России»,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форма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федерального статистического наблюдения № 1-молодежь «Сведения </w:t>
              <w:br/>
              <w:t xml:space="preserve">о сфере государственной молодежной политики», утвержденная приказом Федеральной службы государственной статистики </w:t>
              <w:br/>
              <w:t xml:space="preserve">от 02.12.2019 № 725), Пермьстат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2205" w:type="dxa"/>
            <w:vMerge w:val="restart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ежегодно до 30 марта года, следующего </w:t>
              <w:br/>
              <w:t xml:space="preserve">за отчетным периодом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906"/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:vertAlign w:val="superscript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vertAlign w:val="superscript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:vertAlign w:val="superscript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:vertAlign w:val="superscript"/>
              </w:rPr>
            </w:r>
          </w:p>
        </w:tc>
        <w:tc>
          <w:tcPr>
            <w:tcW w:w="2324" w:type="dxa"/>
            <w:vMerge w:val="restart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Улучшение качества среды для жизни </w:t>
              <w:br/>
              <w:t xml:space="preserve">в опорных населенных пунктах, %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3345" w:type="dxa"/>
            <w:vMerge w:val="restart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2869" w:type="dxa"/>
            <w:vMerge w:val="restart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расчет показателя осуществляется </w:t>
              <w:br/>
              <w:t xml:space="preserve">на основании значений компонентов показателя </w:t>
              <w:br/>
              <w:t xml:space="preserve">по методике, определенной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приказом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Минстроя России от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09.06.2026 № 363/пр </w:t>
              <w:br/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Об утверждении методики расчета показателя «Улучшение качества среды для жизни в опорных населенных пунктах» федерального проекта «Развитие инфраструктуры </w:t>
              <w:br/>
              <w:t xml:space="preserve">в населенных пунктах» национального проекта «Инфраструктура для жизни»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3005" w:type="dxa"/>
            <w:vMerge w:val="restart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функциональный орган (подразделение) администрации города Перми, осуществляющий(ее) функции управления </w:t>
              <w:br/>
              <w:t xml:space="preserve">в сфере планирования </w:t>
              <w:br/>
              <w:t xml:space="preserve">и мониторинга, информация Министерства экономического развития и инвестиций Пермского края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2205" w:type="dxa"/>
            <w:vMerge w:val="restart"/>
            <w:textDirection w:val="lrTb"/>
            <w:noWrap w:val="false"/>
          </w:tcPr>
          <w:p>
            <w:pPr>
              <w:pStyle w:val="896"/>
              <w:jc w:val="left"/>
              <w:spacing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ежегодно до 15 апреля года, следующего </w:t>
              <w:br/>
              <w:t xml:space="preserve">за отчетным периодом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</w:tbl>
    <w:p>
      <w:pPr>
        <w:pStyle w:val="896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ectPr>
          <w:footnotePr/>
          <w:endnotePr/>
          <w:type w:val="nextPage"/>
          <w:pgSz w:w="16838" w:h="11906" w:orient="landscape"/>
          <w:pgMar w:top="1417" w:right="1213" w:bottom="567" w:left="1134" w:header="709" w:footer="709" w:gutter="0"/>
          <w:pgNumType w:start="1"/>
          <w:cols w:num="1" w:sep="0" w:space="708" w:equalWidth="1"/>
          <w:docGrid w:linePitch="360"/>
          <w:titlePg/>
        </w:sect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ind w:left="652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ПРИЛОЖЕНИЕ 3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ind w:left="652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к решению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ind w:left="652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Пермской городской Думы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7"/>
        <w:jc w:val="center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МЕТОДИКА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897"/>
        <w:jc w:val="center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расчета индексов достижения целей Плана мероприятий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по реализации Стратегии социально-экономического развития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муниципального образования город Пермь до 2030 года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 2027 году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896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Целевые показатели Плана мероприятий по реализации Стратегии социально-экономического развития муниципального образования город Пермь </w:t>
        <w:br/>
        <w:t xml:space="preserve">до 2030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(далее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–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План) объединены в индексы достижения целей функционально-целевых направлений (далее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–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ФЦН), а индексы достижения целей ФЦН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–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в индекс качества жизни, характеризующий достижение цели Плана. Структура построения индексов представлена в </w:t>
      </w:r>
      <w:hyperlink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  <w:highlight w:val="none"/>
          </w:rPr>
          <w:t xml:space="preserve">таблицах 1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, </w:t>
      </w:r>
      <w:hyperlink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  <w:highlight w:val="none"/>
          </w:rPr>
          <w:t xml:space="preserve">2 приложения 4 </w:t>
          <w:br/>
          <w:t xml:space="preserve">к Плану 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мероприятий по реализации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Стратегии социально-экономического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развития муниципального образования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город Пермь до 2030 года на период </w:t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2022-2026 годов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Для расчета индексов используется метод линейного масштабирования, суть которого состоит в том, чтобы отобразить значения каждого целевого показателя в интервале от 0 до 1, сохраняя все пропорции между отдельными значениями.</w:t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В качестве минимального значения используется минимальное значение рассматриваемого целевого показателя за период с 2019 года по 2027 год, </w:t>
        <w:br/>
        <w:t xml:space="preserve">а в качестве максимального – максимальное значение за период 2019-2027 годов.</w:t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Расчет индекса развития города Перми осуществляется в несколько этапов.</w:t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На 1 этапе рассчитывается масштабированное значение каждого целевого показателя по всем годам реализации.</w:t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Масштабированное значение целевого показателя за год с номером i вычисляется делением разности достигнутого значения в текущем периоде x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subscript"/>
        </w:rPr>
        <w:t xml:space="preserve">i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и его минимального значения x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subscript"/>
        </w:rPr>
        <w:t xml:space="preserve">min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(за период 2019-2027 годов) на величину прогнозируемого абсолютного прироста показателя, то есть разности x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subscript"/>
        </w:rPr>
        <w:t xml:space="preserve">max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</w:t>
        <w:br/>
        <w:t xml:space="preserve">(за период 2019-2027 годов) и x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subscript"/>
        </w:rPr>
        <w:t xml:space="preserve">min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:</w:t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</w:p>
    <w:p>
      <w:pPr>
        <w:pStyle w:val="896"/>
        <w:contextualSpacing w:val="0"/>
        <w:ind w:firstLine="0"/>
        <w:jc w:val="center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m:oMath>
        <m:sSub>
          <m:sSubPr>
            <m:ctrlPr/>
          </m:sSubPr>
          <m:e>
            <m:r>
              <w:rPr>
                <w:rFonts w:ascii="Cambria Math" w:hAnsi="Cambria Math" w:eastAsia="Cambria Math" w:cs="Cambria Math"/>
              </w:rPr>
              <m:rPr/>
              <m:t>x</m:t>
            </m:r>
          </m:e>
          <m:sub>
            <m:r>
              <w:rPr>
                <w:rFonts w:ascii="Cambria Math" w:hAnsi="Cambria Math" w:eastAsia="Cambria Math" w:cs="Cambria Math"/>
              </w:rPr>
              <m:rPr/>
              <m:t>i</m:t>
            </m:r>
          </m:sub>
        </m:sSub>
        <m:r>
          <w:rPr>
            <w:rFonts w:ascii="Cambria Math" w:hAnsi="Cambria Math" w:eastAsia="Cambria Math" w:cs="Cambria Math"/>
          </w:rPr>
          <m:rPr/>
          <m:t>=</m:t>
        </m:r>
      </m:oMath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(</w:t>
      </w:r>
      <m:oMath>
        <m:sSub>
          <m:sSubPr>
            <m:ctrlPr/>
          </m:sSubPr>
          <m:e>
            <m:r>
              <w:rPr>
                <w:rFonts w:ascii="Cambria Math" w:hAnsi="Cambria Math" w:eastAsia="Cambria Math" w:cs="Cambria Math"/>
              </w:rPr>
              <m:rPr/>
              <m:t>x</m:t>
            </m:r>
          </m:e>
          <m:sub>
            <m:r>
              <w:rPr>
                <w:rFonts w:ascii="Cambria Math" w:hAnsi="Cambria Math" w:eastAsia="Cambria Math" w:cs="Cambria Math"/>
              </w:rPr>
              <m:rPr/>
              <m:t>i</m:t>
            </m:r>
          </m:sub>
        </m:sSub>
        <m:r>
          <w:rPr>
            <w:rFonts w:ascii="Cambria Math" w:hAnsi="Cambria Math" w:eastAsia="Cambria Math" w:cs="Cambria Math"/>
          </w:rPr>
          <m:rPr/>
          <m:t>-</m:t>
        </m:r>
        <m:sSub>
          <m:sSubPr>
            <m:ctrlPr>
              <w:rPr>
                <w:rFonts w:ascii="Cambria Math" w:hAnsi="Cambria Math" w:eastAsia="Cambria Math" w:cs="Cambria Math"/>
                <w:i/>
              </w:rPr>
            </m:ctrlPr>
          </m:sSubPr>
          <m:e>
            <m:r>
              <w:rPr>
                <w:rFonts w:hint="default" w:ascii="Cambria Math" w:hAnsi="Cambria Math" w:eastAsia="Cambria Math" w:cs="Cambria Math"/>
              </w:rPr>
              <m:rPr>
                <m:sty m:val="i"/>
              </m:rPr>
              <m:t>x</m:t>
            </m:r>
          </m:e>
          <m:sub>
            <m:r>
              <w:rPr>
                <w:rFonts w:hint="default" w:ascii="Cambria Math" w:hAnsi="Cambria Math" w:eastAsia="Cambria Math" w:cs="Cambria Math"/>
              </w:rPr>
              <m:rPr>
                <m:sty m:val="i"/>
              </m:rPr>
              <m:t>min</m:t>
            </m:r>
          </m:sub>
        </m:sSub>
      </m:oMath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)/(</w:t>
      </w:r>
      <m:oMath>
        <m:sSub>
          <m:sSubPr>
            <m:ctrlPr/>
          </m:sSubPr>
          <m:e>
            <m:r>
              <w:rPr>
                <w:rFonts w:ascii="Cambria Math" w:hAnsi="Cambria Math" w:eastAsia="Cambria Math" w:cs="Cambria Math"/>
              </w:rPr>
              <m:rPr/>
              <m:t>x</m:t>
            </m:r>
          </m:e>
          <m:sub>
            <m:r>
              <w:rPr>
                <w:rFonts w:ascii="Cambria Math" w:hAnsi="Cambria Math" w:eastAsia="Cambria Math" w:cs="Cambria Math"/>
              </w:rPr>
              <m:rPr/>
              <m:t>max</m:t>
            </m:r>
          </m:sub>
        </m:sSub>
        <m:r>
          <w:rPr>
            <w:rFonts w:ascii="Cambria Math" w:hAnsi="Cambria Math" w:eastAsia="Cambria Math" w:cs="Cambria Math"/>
          </w:rPr>
          <m:rPr/>
          <m:t>-</m:t>
        </m:r>
        <m:sSub>
          <m:sSubPr>
            <m:ctrlPr>
              <w:rPr>
                <w:rFonts w:ascii="Cambria Math" w:hAnsi="Cambria Math" w:eastAsia="Cambria Math" w:cs="Cambria Math"/>
                <w:i/>
              </w:rPr>
            </m:ctrlPr>
          </m:sSubPr>
          <m:e>
            <m:r>
              <w:rPr>
                <w:rFonts w:hint="default" w:ascii="Cambria Math" w:hAnsi="Cambria Math" w:eastAsia="Cambria Math" w:cs="Cambria Math"/>
              </w:rPr>
              <m:rPr>
                <m:sty m:val="i"/>
              </m:rPr>
              <m:t>x</m:t>
            </m:r>
          </m:e>
          <m:sub>
            <m:r>
              <w:rPr>
                <w:rFonts w:hint="default" w:ascii="Cambria Math" w:hAnsi="Cambria Math" w:eastAsia="Cambria Math" w:cs="Cambria Math"/>
              </w:rPr>
              <m:rPr>
                <m:sty m:val="i"/>
              </m:rPr>
              <m:t>min</m:t>
            </m:r>
          </m:sub>
        </m:sSub>
        <m:r>
          <w:rPr>
            <w:rFonts w:hint="default" w:ascii="Cambria Math" w:hAnsi="Cambria Math" w:eastAsia="Cambria Math" w:cs="Cambria Math"/>
          </w:rPr>
          <m:rPr>
            <m:sty m:val="i"/>
          </m:rPr>
          <m:t>)</m:t>
        </m:r>
      </m:oMath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В случае когда целевой показатель содержательно связан с индексом обратно пропорционально (например, уменьшение целевого показателя должно приводить к повышению индекса), применяется обратное линейное масштабирование:</w:t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 </w:t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</w:p>
    <w:p>
      <w:pPr>
        <w:pStyle w:val="896"/>
        <w:contextualSpacing w:val="0"/>
        <w:ind w:firstLine="0"/>
        <w:jc w:val="center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m:oMath>
        <m:sSub>
          <m:sSubPr>
            <m:ctrlPr/>
          </m:sSubPr>
          <m:e>
            <m:acc>
              <m:accPr>
                <m:chr m:val="̃"/>
                <m:ctrlPr/>
              </m:accPr>
              <m:e>
                <m:r>
                  <w:rPr>
                    <w:rFonts w:ascii="Cambria Math" w:hAnsi="Cambria Math" w:eastAsia="Cambria Math" w:cs="Cambria Math"/>
                  </w:rPr>
                  <m:rPr/>
                  <m:t>x</m:t>
                </m:r>
              </m:e>
            </m:acc>
          </m:e>
          <m:sub>
            <m:r>
              <w:rPr>
                <w:rFonts w:ascii="Cambria Math" w:hAnsi="Cambria Math" w:eastAsia="Cambria Math" w:cs="Cambria Math"/>
              </w:rPr>
              <m:rPr/>
              <m:t>i</m:t>
            </m:r>
          </m:sub>
        </m:sSub>
        <m:r>
          <w:rPr>
            <w:rFonts w:ascii="Cambria Math" w:hAnsi="Cambria Math" w:eastAsia="Cambria Math" w:cs="Cambria Math"/>
          </w:rPr>
          <m:rPr/>
          <m:t>=</m:t>
        </m:r>
      </m:oMath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1-(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(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x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vertAlign w:val="subscript"/>
        </w:rPr>
        <w:t xml:space="preserve">i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-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x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vertAlign w:val="subscript"/>
        </w:rPr>
        <w:t xml:space="preserve">min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) / (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x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vertAlign w:val="subscript"/>
        </w:rPr>
        <w:t xml:space="preserve">max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 - x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vertAlign w:val="subscript"/>
        </w:rPr>
        <w:t xml:space="preserve">min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))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contextualSpacing w:val="0"/>
        <w:ind w:firstLine="709"/>
        <w:jc w:val="center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contextualSpacing w:val="0"/>
        <w:ind w:firstLine="709"/>
        <w:jc w:val="center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На 2 этапе рассчитываются индексы по годам реализации.</w:t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Формула для расчета индекса с номером i представляет собой среднеарифметическое значение индексов целевого показателя x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subscript"/>
        </w:rPr>
        <w:t xml:space="preserve">i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, k = 1...n, составляющих данный индекс </w:t>
      </w:r>
      <w:hyperlink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  <w:highlight w:val="none"/>
          </w:rPr>
          <w:t xml:space="preserve">(таблица 2)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:</w:t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</w:p>
    <w:p>
      <w:pPr>
        <w:pStyle w:val="896"/>
        <w:contextualSpacing w:val="0"/>
        <w:ind w:firstLine="709"/>
        <w:jc w:val="center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contextualSpacing w:val="0"/>
        <w:ind w:firstLine="0"/>
        <w:jc w:val="center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m:oMath>
        <m:sSubSup>
          <m:sSubSupPr>
            <m:alnScr m:val="off"/>
            <m:ctrlPr>
              <w:rPr>
                <w:rFonts w:ascii="Cambria Math" w:hAnsi="Cambria Math" w:eastAsia="Cambria Math" w:cs="Cambria Math"/>
                <w:i/>
                <w:color w:val="000000" w:themeColor="text1"/>
                <w:sz w:val="28"/>
                <w:szCs w:val="28"/>
                <w:highlight w:val="none"/>
              </w:rPr>
            </m:ctrlPr>
          </m:sSubSupPr>
          <m:e>
            <m:r>
              <w:rPr>
                <w:rFonts w:hint="default" w:ascii="Cambria Math" w:hAnsi="Cambria Math" w:eastAsia="Cambria Math" w:cs="Cambria Math"/>
                <w:color w:val="000000" w:themeColor="text1"/>
                <w:sz w:val="28"/>
                <w:szCs w:val="28"/>
                <w:highlight w:val="none"/>
              </w:rPr>
              <m:rPr>
                <m:sty m:val="i"/>
              </m:rPr>
              <m:t>I</m:t>
            </m:r>
          </m:e>
          <m:sub>
            <m:r>
              <w:rPr>
                <w:rFonts w:hint="default" w:ascii="Cambria Math" w:hAnsi="Cambria Math" w:eastAsia="Cambria Math" w:cs="Cambria Math"/>
                <w:color w:val="000000" w:themeColor="text1"/>
                <w:sz w:val="28"/>
                <w:szCs w:val="28"/>
                <w:highlight w:val="none"/>
              </w:rPr>
              <m:rPr>
                <m:sty m:val="i"/>
              </m:rPr>
              <m:t>i</m:t>
            </m:r>
          </m:sub>
          <m:sup>
            <m:r>
              <w:rPr>
                <w:rFonts w:hint="default" w:ascii="Cambria Math" w:hAnsi="Cambria Math" w:eastAsia="Cambria Math" w:cs="Cambria Math"/>
                <w:color w:val="000000" w:themeColor="text1"/>
                <w:sz w:val="28"/>
                <w:szCs w:val="28"/>
                <w:highlight w:val="none"/>
              </w:rPr>
              <m:rPr>
                <m:sty m:val="i"/>
              </m:rPr>
              <m:t>j</m:t>
            </m:r>
          </m:sup>
        </m:sSubSup>
      </m:oMath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= </w:t>
      </w:r>
      <m:oMath>
        <m:f>
          <m:fPr>
            <m:ctrlPr>
              <w:rPr>
                <w:rFonts w:ascii="Cambria Math" w:hAnsi="Cambria Math" w:eastAsia="Cambria Math" w:cs="Cambria Math"/>
                <w:i/>
                <w:color w:val="000000" w:themeColor="text1"/>
                <w:sz w:val="28"/>
                <w:szCs w:val="28"/>
                <w:highlight w:val="none"/>
              </w:rPr>
            </m:ctrlPr>
          </m:fPr>
          <m:num>
            <m:r>
              <w:rPr>
                <w:rFonts w:hint="default" w:ascii="Cambria Math" w:hAnsi="Cambria Math" w:eastAsia="Cambria Math" w:cs="Cambria Math"/>
                <w:color w:val="000000" w:themeColor="text1"/>
                <w:sz w:val="28"/>
                <w:szCs w:val="28"/>
                <w:highlight w:val="none"/>
              </w:rPr>
              <m:rPr>
                <m:sty m:val="i"/>
              </m:rPr>
              <m:t>1</m:t>
            </m:r>
          </m:num>
          <m:den>
            <m:r>
              <w:rPr>
                <w:rFonts w:hint="default" w:ascii="Cambria Math" w:hAnsi="Cambria Math" w:eastAsia="Cambria Math" w:cs="Cambria Math"/>
                <w:color w:val="000000" w:themeColor="text1"/>
                <w:sz w:val="28"/>
                <w:szCs w:val="28"/>
                <w:highlight w:val="none"/>
              </w:rPr>
              <m:rPr>
                <m:sty m:val="i"/>
              </m:rPr>
              <m:t>n</m:t>
            </m:r>
          </m:den>
        </m:f>
      </m:oMath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</w:t>
      </w:r>
      <m:oMath>
        <m:nary>
          <m:naryPr>
            <m:chr m:val="∑"/>
            <m:grow m:val="off"/>
            <m:limLoc m:val="undOvr"/>
            <m:ctrlPr>
              <w:rPr>
                <w:rFonts w:ascii="Cambria Math" w:hAnsi="Cambria Math" w:eastAsia="Cambria Math" w:cs="Cambria Math"/>
                <w:i/>
                <w:color w:val="000000" w:themeColor="text1"/>
                <w:sz w:val="28"/>
                <w:szCs w:val="28"/>
                <w:highlight w:val="none"/>
              </w:rPr>
            </m:ctrlPr>
          </m:naryPr>
          <m:sub>
            <m:r>
              <w:rPr>
                <w:rFonts w:ascii="Cambria Math" w:hAnsi="Cambria Math" w:eastAsia="Cambria Math" w:cs="Cambria Math"/>
              </w:rPr>
              <m:rPr/>
              <m:t>k</m:t>
            </m:r>
            <m:r>
              <w:rPr>
                <w:rFonts w:ascii="Cambria Math" w:hAnsi="Cambria Math" w:eastAsia="Cambria Math" w:cs="Cambria Math"/>
              </w:rPr>
              <m:rPr/>
              <m:t>=1</m:t>
            </m:r>
          </m:sub>
          <m:sup>
            <m:r>
              <w:rPr>
                <w:rFonts w:hint="default" w:ascii="Cambria Math" w:hAnsi="Cambria Math" w:eastAsia="Cambria Math" w:cs="Cambria Math"/>
                <w:color w:val="000000" w:themeColor="text1"/>
                <w:sz w:val="28"/>
                <w:szCs w:val="28"/>
                <w:highlight w:val="none"/>
              </w:rPr>
              <m:rPr>
                <m:sty m:val="i"/>
              </m:rPr>
              <m:t>n</m:t>
            </m:r>
          </m:sup>
          <m:e>
            <m:sSup>
              <m:sSupPr>
                <m:ctrlPr>
                  <w:rPr>
                    <w:rFonts w:ascii="Cambria Math" w:hAnsi="Cambria Math" w:eastAsia="Cambria Math" w:cs="Cambria Math"/>
                    <w:i/>
                    <w:strike w:val="0"/>
                    <w:color w:val="000000" w:themeColor="text1"/>
                    <w:sz w:val="28"/>
                    <w:highlight w:val="none"/>
                    <w:u w:val="none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eastAsia="Cambria Math" w:cs="Cambria Math"/>
                        <w:i/>
                        <w:strike w:val="0"/>
                        <w:color w:val="000000" w:themeColor="text1"/>
                        <w:sz w:val="28"/>
                        <w:highlight w:val="none"/>
                        <w:u w:val="none"/>
                      </w:rPr>
                    </m:ctrlPr>
                  </m:sSubPr>
                  <m:e>
                    <m:r>
                      <w:rPr>
                        <w:rFonts w:hint="default" w:ascii="Cambria Math" w:hAnsi="Cambria Math" w:eastAsia="Cambria Math" w:cs="Cambria Math"/>
                        <w:caps w:val="0"/>
                        <w:smallCaps w:val="0"/>
                        <w:strike w:val="0"/>
                        <w:color w:val="000000" w:themeColor="text1"/>
                        <w:spacing w:val="0"/>
                        <w:position w:val="0"/>
                        <w:sz w:val="28"/>
                        <w:szCs w:val="28"/>
                        <w:highlight w:val="none"/>
                        <w:u w:val="none"/>
                        <w:vertAlign w:val="baseline"/>
                        <w:lang w:val="ru-RU" w:eastAsia="ru-RU" w:bidi="ar-SA"/>
                        <w14:ligatures w14:val="none"/>
                      </w:rPr>
                      <m:rPr>
                        <m:sty m:val="i"/>
                      </m:rPr>
                      <m:t>x</m:t>
                    </m:r>
                  </m:e>
                  <m:sub>
                    <m:r>
                      <w:rPr>
                        <w:rFonts w:hint="default" w:ascii="Cambria Math" w:hAnsi="Cambria Math" w:eastAsia="Cambria Math" w:cs="Cambria Math"/>
                        <w:strike w:val="0"/>
                        <w:color w:val="000000" w:themeColor="text1"/>
                        <w:sz w:val="28"/>
                        <w:szCs w:val="28"/>
                        <w:highlight w:val="none"/>
                        <w:u w:val="none"/>
                      </w:rPr>
                      <m:rPr>
                        <m:sty m:val="i"/>
                      </m:rPr>
                      <m:t>i</m:t>
                    </m:r>
                  </m:sub>
                </m:sSub>
                <m:r>
                  <w:rPr>
                    <w:rFonts w:hint="default" w:ascii="Cambria Math" w:hAnsi="Cambria Math" w:eastAsia="Cambria Math" w:cs="Cambria Math"/>
                    <w:caps w:val="0"/>
                    <w:smallCaps w:val="0"/>
                    <w:strike w:val="0"/>
                    <w:color w:val="000000" w:themeColor="text1"/>
                    <w:spacing w:val="0"/>
                    <w:position w:val="0"/>
                    <w:sz w:val="28"/>
                    <w:szCs w:val="28"/>
                    <w:highlight w:val="none"/>
                    <w:u w:val="none"/>
                    <w:vertAlign w:val="baseline"/>
                    <w:lang w:val="ru-RU" w:eastAsia="ru-RU" w:bidi="ar-SA"/>
                    <w14:ligatures w14:val="none"/>
                  </w:rPr>
                  <m:rPr/>
                  <m:t>(</m:t>
                </m:r>
                <m:acc>
                  <m:accPr>
                    <m:chr m:val="̃"/>
                    <m:ctrlPr>
                      <w:rPr>
                        <w:rFonts w:ascii="Cambria Math" w:hAnsi="Cambria Math" w:eastAsia="Cambria Math" w:cs="Cambria Math"/>
                        <w:i/>
                        <w:strike w:val="0"/>
                        <w:color w:val="000000" w:themeColor="text1"/>
                        <w:sz w:val="28"/>
                        <w:highlight w:val="none"/>
                        <w:u w:val="none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eastAsia="Cambria Math" w:cs="Cambria Math"/>
                            <w:i/>
                            <w:strike w:val="0"/>
                            <w:color w:val="000000" w:themeColor="text1"/>
                            <w:sz w:val="28"/>
                            <w:highlight w:val="none"/>
                            <w:u w:val="none"/>
                          </w:rPr>
                        </m:ctrlPr>
                      </m:sSubPr>
                      <m:e>
                        <m:r>
                          <w:rPr>
                            <w:rFonts w:hint="default" w:ascii="Cambria Math" w:hAnsi="Cambria Math" w:eastAsia="Cambria Math" w:cs="Cambria Math"/>
                            <w:strike w:val="0"/>
                            <w:color w:val="000000" w:themeColor="text1"/>
                            <w:sz w:val="28"/>
                            <w:szCs w:val="28"/>
                            <w:highlight w:val="none"/>
                            <w:u w:val="none"/>
                          </w:rPr>
                          <m:rPr>
                            <m:sty m:val="i"/>
                          </m:rPr>
                          <m:t>x</m:t>
                        </m:r>
                      </m:e>
                      <m:sub>
                        <m:r>
                          <w:rPr>
                            <w:rFonts w:hint="default" w:ascii="Cambria Math" w:hAnsi="Cambria Math" w:eastAsia="Cambria Math" w:cs="Cambria Math"/>
                            <w:strike w:val="0"/>
                            <w:color w:val="000000" w:themeColor="text1"/>
                            <w:sz w:val="28"/>
                            <w:szCs w:val="28"/>
                            <w:highlight w:val="none"/>
                            <w:u w:val="none"/>
                          </w:rPr>
                          <m:rPr>
                            <m:sty m:val="i"/>
                          </m:rPr>
                          <m:t>i</m:t>
                        </m:r>
                      </m:sub>
                    </m:sSub>
                    <m:r>
                      <w:rPr>
                        <w:rFonts w:hint="default" w:ascii="Cambria Math" w:hAnsi="Cambria Math" w:eastAsia="Cambria Math" w:cs="Cambria Math"/>
                        <w:strike w:val="0"/>
                        <w:color w:val="000000" w:themeColor="text1"/>
                        <w:sz w:val="28"/>
                        <w:szCs w:val="28"/>
                        <w:highlight w:val="none"/>
                        <w:u w:val="none"/>
                      </w:rPr>
                      <m:rPr>
                        <m:sty m:val="i"/>
                      </m:rPr>
                      <m:t>)</m:t>
                    </m:r>
                  </m:e>
                </m:acc>
              </m:e>
              <m:sup>
                <m:r>
                  <w:rPr>
                    <w:rFonts w:hint="default" w:ascii="Cambria Math" w:hAnsi="Cambria Math" w:eastAsia="Cambria Math" w:cs="Cambria Math"/>
                    <w:strike w:val="0"/>
                    <w:color w:val="000000" w:themeColor="text1"/>
                    <w:sz w:val="28"/>
                    <w:szCs w:val="28"/>
                    <w:highlight w:val="none"/>
                    <w:u w:val="none"/>
                  </w:rPr>
                  <m:rPr>
                    <m:sty m:val="i"/>
                  </m:rPr>
                  <m:t>k</m:t>
                </m:r>
              </m:sup>
            </m:sSup>
          </m:e>
        </m:nary>
      </m:oMath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contextualSpacing w:val="0"/>
        <w:ind w:firstLine="709"/>
        <w:jc w:val="center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где:</w:t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17170" cy="285750"/>
                <wp:effectExtent l="0" t="0" r="0" b="0"/>
                <wp:docPr id="3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1714144" name="Picture 1"/>
                        <pic:cNvPicPr/>
                        <pic:nvPr/>
                      </pic:nvPicPr>
                      <pic:blipFill>
                        <a:blip r:embed="rId13">
                          <a:extLst>
                            <a:ext uri="{96DAC541-7B7A-43D3-8B79-37D633B846F1}">
                              <asvg:svgBlip xmlns:asvg="http://schemas.microsoft.com/office/drawing/2016/SVG/main" r:embed="rId14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21717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7.10pt;height:22.50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–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значение j-го индекса в текущий период i,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j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–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порядковый номер индекса,</w:t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n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–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число показателей j-го индекса в текущий период i,</w:t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k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–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порядковый номер показателя.</w:t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Формула применяется к расчету следующих индексов: индекс развития человеческого капитала, индекс экономического роста, индекс комфортной среды для жизни.</w:t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На 3 этапе рассчитывается индекс качества жизни (И) по годам реализации.</w:t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Индекс качества жизни рассчитывается по следующей формуле: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6"/>
        <w:contextualSpacing w:val="0"/>
        <w:ind w:firstLine="0"/>
        <w:jc w:val="center"/>
        <w:widowControl/>
        <w:rPr>
          <w:rFonts w:ascii="Times New Roman" w:hAnsi="Times New Roman" w:cs="Times New Roman"/>
          <w:color w:val="000000" w:themeColor="text1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И = 0,4 x 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subscript"/>
        </w:rPr>
        <w:t xml:space="preserve">ЧК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+ 0,15 x 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subscript"/>
        </w:rPr>
        <w:t xml:space="preserve">ЭР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+ 0,45 x 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subscript"/>
        </w:rPr>
        <w:t xml:space="preserve">КСДЖ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,</w:t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где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:</w:t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subscript"/>
        </w:rPr>
        <w:t xml:space="preserve">ЧК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–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индекс развития человеческого капитала,</w:t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subscript"/>
        </w:rPr>
        <w:t xml:space="preserve">ЭР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–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индекс экономического роста,</w:t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</w:p>
    <w:p>
      <w:pPr>
        <w:pStyle w:val="896"/>
        <w:contextualSpacing w:val="0"/>
        <w:ind w:firstLine="709"/>
        <w:jc w:val="both"/>
        <w:widowControl/>
        <w:rPr>
          <w:rFonts w:ascii="Times New Roman" w:hAnsi="Times New Roman" w:cs="Times New Roman"/>
          <w:color w:val="000000" w:themeColor="text1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vertAlign w:val="subscript"/>
        </w:rPr>
        <w:t xml:space="preserve">КСДЖ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–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индекс комфортной среды для жизни.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highlight w:val="none"/>
          <w14:ligatures w14:val="none"/>
        </w:rPr>
      </w:r>
    </w:p>
    <w:p>
      <w:pPr>
        <w:pStyle w:val="896"/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ectPr>
          <w:footnotePr/>
          <w:endnotePr/>
          <w:type w:val="nextPage"/>
          <w:pgSz w:w="11906" w:h="16838" w:orient="portrait"/>
          <w:pgMar w:top="1213" w:right="567" w:bottom="1134" w:left="1417" w:header="709" w:footer="709" w:gutter="0"/>
          <w:pgNumType w:start="1"/>
          <w:cols w:num="1" w:sep="0" w:space="708" w:equalWidth="1"/>
          <w:docGrid w:linePitch="360"/>
          <w:titlePg/>
        </w:sect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ind w:left="652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ПРИЛОЖЕНИЕ 4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ind w:left="652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к решению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ind w:left="652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Пермской городской Думы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ind w:left="652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7"/>
        <w:jc w:val="center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ЗНАЧЕНИЯ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897"/>
        <w:jc w:val="center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индексов достижения целей Плана мероприятий по реализации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Стратегии социально-экономического развития муниципального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образования город Пермь до 2030 года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2027 году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jc w:val="both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tbl>
      <w:tblPr>
        <w:tblStyle w:val="753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695"/>
        <w:gridCol w:w="2085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69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Наименование индекса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8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2027 год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8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(прогноз)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695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Индекс качества жизни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8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0,88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695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Индекс развития человеческого капитала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8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1,00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695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Индекс экономического роста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8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,00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695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Индекс комфортной среды для жизни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8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0,73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</w:tbl>
    <w:p>
      <w:pPr>
        <w:pStyle w:val="896"/>
        <w:contextualSpacing w:val="0"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ectPr>
          <w:footnotePr/>
          <w:endnotePr/>
          <w:type w:val="nextPage"/>
          <w:pgSz w:w="11906" w:h="16838" w:orient="portrait"/>
          <w:pgMar w:top="1213" w:right="567" w:bottom="1134" w:left="1417" w:header="709" w:footer="709" w:gutter="0"/>
          <w:cols w:num="1" w:sep="0" w:space="708" w:equalWidth="1"/>
          <w:docGrid w:linePitch="360"/>
          <w:titlePg/>
        </w:sect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ind w:left="652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ПРИЛОЖЕНИЕ 5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ind w:left="652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к решению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ind w:left="652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Пермской городской Думы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6"/>
        <w:contextualSpacing w:val="0"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7"/>
        <w:jc w:val="center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ПЕРЕЧЕНЬ И СВЕДЕНИЯ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7"/>
        <w:jc w:val="center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 приоритетных проектах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администрации города Перми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897"/>
        <w:jc w:val="center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tbl>
      <w:tblPr>
        <w:tblStyle w:val="753"/>
        <w:tblW w:w="5000" w:type="pct"/>
        <w:tblLayout w:type="fixed"/>
        <w:tblLook w:val="04A0" w:firstRow="1" w:lastRow="0" w:firstColumn="1" w:lastColumn="0" w:noHBand="0" w:noVBand="1"/>
      </w:tblPr>
      <w:tblGrid>
        <w:gridCol w:w="567"/>
        <w:gridCol w:w="4252"/>
        <w:gridCol w:w="5103"/>
      </w:tblGrid>
      <w:tr>
        <w:tblPrEx/>
        <w:trPr>
          <w:trHeight w:val="0"/>
          <w:tblHeader/>
        </w:trPr>
        <w:tc>
          <w:tcPr>
            <w:tcW w:w="567" w:type="dxa"/>
            <w:textDirection w:val="lrTb"/>
            <w:noWrap w:val="false"/>
          </w:tcPr>
          <w:p>
            <w:pPr>
              <w:contextualSpacing w:val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contextualSpacing w:val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административного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района/приоритетного проекта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contextualSpacing w:val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Краткое описание приоритетного проекта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0"/>
        </w:trPr>
        <w:tc>
          <w:tcPr>
            <w:gridSpan w:val="2"/>
            <w:tcW w:w="4819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Дзержинский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103" w:type="dxa"/>
            <w:vMerge w:val="restart"/>
            <w:textDirection w:val="lrTb"/>
            <w:noWrap w:val="false"/>
          </w:tcPr>
          <w:p>
            <w:pPr>
              <w:contextualSpacing w:val="0"/>
              <w:ind w:left="0" w:right="0" w:firstLine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000000"/>
                <w:sz w:val="28"/>
                <w:szCs w:val="28"/>
                <w:u w:val="non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000000"/>
                <w:sz w:val="28"/>
                <w:szCs w:val="28"/>
                <w:u w:val="none"/>
              </w:rPr>
              <w:t xml:space="preserve">омплексное преобразование территории района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000000"/>
                <w:sz w:val="28"/>
                <w:szCs w:val="28"/>
                <w:u w:val="none"/>
              </w:rPr>
              <w:t xml:space="preserve">в современное, безопасное и эстетически привлекательное пространство для жизни. 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 w:val="0"/>
              <w:ind w:left="0" w:right="0" w:firstLine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Ключевые векторы развития: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pPr>
              <w:contextualSpacing w:val="0"/>
              <w:ind w:left="0" w:right="0" w:firstLine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создание точек притяжения, формирование уютных </w:t>
              <w:br/>
              <w:t xml:space="preserve">и функциональных общественных пространств, где хочется проводить время жителям и гостям города;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 w:val="0"/>
              <w:ind w:left="0" w:right="0" w:firstLine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ремонт дорог, тротуаров и лестничных переходов для безопасного и удобного передвижения;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 w:val="0"/>
              <w:ind w:left="0" w:right="0" w:firstLine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благоустройство территорий индивидуальной жилой застройки;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 w:val="0"/>
              <w:ind w:left="0" w:right="0" w:firstLine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благоустройство дворовых территорий </w:t>
              <w:br/>
              <w:t xml:space="preserve">для создания комфортных условий жизни;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 w:val="0"/>
              <w:ind w:left="0" w:right="0" w:firstLine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развитие сетей наружного освещения для комфорта и безопасности;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 w:val="0"/>
              <w:ind w:left="0" w:right="0" w:firstLine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проведение субботников, формирующих культуру </w:t>
              <w:br/>
              <w:t xml:space="preserve">и ответственное отношение к своему городу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0"/>
        </w:trPr>
        <w:tc>
          <w:tcPr>
            <w:tcW w:w="567" w:type="dxa"/>
            <w:textDirection w:val="lrTb"/>
            <w:noWrap w:val="false"/>
          </w:tcPr>
          <w:p>
            <w:pPr>
              <w:contextualSpacing w:val="0"/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strike w:val="0"/>
                <w:color w:val="000000" w:themeColor="text1"/>
                <w:spacing w:val="0"/>
                <w:sz w:val="28"/>
                <w:szCs w:val="28"/>
                <w:u w:val="none"/>
                <w:lang w:val="ru-RU"/>
              </w:rPr>
              <w:t xml:space="preserve">#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strike w:val="0"/>
                <w:color w:val="000000" w:themeColor="text1"/>
                <w:spacing w:val="0"/>
                <w:sz w:val="28"/>
                <w:szCs w:val="28"/>
                <w:u w:val="none"/>
                <w:lang w:val="ru-RU"/>
              </w:rPr>
              <w:t xml:space="preserve"> Пермьвпорядке: Дзержинский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103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0"/>
        </w:trPr>
        <w:tc>
          <w:tcPr>
            <w:gridSpan w:val="2"/>
            <w:tcW w:w="4819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Индустриальный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103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0"/>
        </w:trPr>
        <w:tc>
          <w:tcPr>
            <w:tcW w:w="567" w:type="dxa"/>
            <w:textDirection w:val="lrTb"/>
            <w:noWrap w:val="false"/>
          </w:tcPr>
          <w:p>
            <w:pPr>
              <w:contextualSpacing w:val="0"/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strike w:val="0"/>
                <w:color w:val="000000" w:themeColor="text1"/>
                <w:spacing w:val="0"/>
                <w:sz w:val="28"/>
                <w:szCs w:val="28"/>
                <w:u w:val="none"/>
                <w:lang w:val="ru-RU"/>
              </w:rPr>
              <w:t xml:space="preserve">#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strike w:val="0"/>
                <w:color w:val="000000" w:themeColor="text1"/>
                <w:spacing w:val="0"/>
                <w:sz w:val="28"/>
                <w:szCs w:val="28"/>
                <w:u w:val="none"/>
                <w:lang w:val="ru-RU"/>
              </w:rPr>
              <w:t xml:space="preserve"> Пермьвпорядке: Индустриальный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103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0"/>
        </w:trPr>
        <w:tc>
          <w:tcPr>
            <w:gridSpan w:val="2"/>
            <w:tcW w:w="4819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103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0"/>
        </w:trPr>
        <w:tc>
          <w:tcPr>
            <w:tcW w:w="567" w:type="dxa"/>
            <w:textDirection w:val="lrTb"/>
            <w:noWrap w:val="false"/>
          </w:tcPr>
          <w:p>
            <w:pPr>
              <w:contextualSpacing w:val="0"/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strike w:val="0"/>
                <w:color w:val="000000" w:themeColor="text1"/>
                <w:spacing w:val="0"/>
                <w:sz w:val="28"/>
                <w:szCs w:val="28"/>
                <w:u w:val="none"/>
                <w:lang w:val="ru-RU"/>
              </w:rPr>
              <w:t xml:space="preserve">#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strike w:val="0"/>
                <w:color w:val="000000" w:themeColor="text1"/>
                <w:spacing w:val="0"/>
                <w:sz w:val="28"/>
                <w:szCs w:val="28"/>
                <w:u w:val="none"/>
                <w:lang w:val="ru-RU"/>
              </w:rPr>
              <w:t xml:space="preserve"> Пермьвпорядке: Кировский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103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0"/>
        </w:trPr>
        <w:tc>
          <w:tcPr>
            <w:gridSpan w:val="2"/>
            <w:tcW w:w="4819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Ленинский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103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0"/>
        </w:trPr>
        <w:tc>
          <w:tcPr>
            <w:tcW w:w="567" w:type="dxa"/>
            <w:textDirection w:val="lrTb"/>
            <w:noWrap w:val="false"/>
          </w:tcPr>
          <w:p>
            <w:pPr>
              <w:contextualSpacing w:val="0"/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strike w:val="0"/>
                <w:color w:val="000000" w:themeColor="text1"/>
                <w:spacing w:val="0"/>
                <w:sz w:val="28"/>
                <w:szCs w:val="28"/>
                <w:u w:val="none"/>
                <w:lang w:val="ru-RU"/>
              </w:rPr>
              <w:t xml:space="preserve">#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strike w:val="0"/>
                <w:color w:val="000000" w:themeColor="text1"/>
                <w:spacing w:val="0"/>
                <w:sz w:val="28"/>
                <w:szCs w:val="28"/>
                <w:u w:val="none"/>
                <w:lang w:val="ru-RU"/>
              </w:rPr>
              <w:t xml:space="preserve"> Пермьвпорядке: Ленинский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103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0"/>
        </w:trPr>
        <w:tc>
          <w:tcPr>
            <w:gridSpan w:val="2"/>
            <w:tcW w:w="4819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Мотовилихинский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5103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0"/>
        </w:trPr>
        <w:tc>
          <w:tcPr>
            <w:tcW w:w="567" w:type="dxa"/>
            <w:textDirection w:val="lrTb"/>
            <w:noWrap w:val="false"/>
          </w:tcPr>
          <w:p>
            <w:pPr>
              <w:contextualSpacing w:val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strike w:val="0"/>
                <w:color w:val="000000" w:themeColor="text1"/>
                <w:spacing w:val="0"/>
                <w:sz w:val="28"/>
                <w:szCs w:val="28"/>
                <w:u w:val="none"/>
                <w:lang w:val="ru-RU"/>
              </w:rPr>
              <w:t xml:space="preserve">#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strike w:val="0"/>
                <w:color w:val="000000" w:themeColor="text1"/>
                <w:spacing w:val="0"/>
                <w:sz w:val="28"/>
                <w:szCs w:val="28"/>
                <w:u w:val="none"/>
                <w:lang w:val="ru-RU"/>
              </w:rPr>
              <w:t xml:space="preserve"> Пермьвпорядке: Мотовилихинский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103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0"/>
        </w:trPr>
        <w:tc>
          <w:tcPr>
            <w:gridSpan w:val="2"/>
            <w:tcW w:w="4819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Орджоникидзевский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5103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0"/>
        </w:trPr>
        <w:tc>
          <w:tcPr>
            <w:tcW w:w="567" w:type="dxa"/>
            <w:textDirection w:val="lrTb"/>
            <w:noWrap w:val="false"/>
          </w:tcPr>
          <w:p>
            <w:pPr>
              <w:contextualSpacing w:val="0"/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strike w:val="0"/>
                <w:color w:val="000000" w:themeColor="text1"/>
                <w:spacing w:val="0"/>
                <w:sz w:val="28"/>
                <w:szCs w:val="28"/>
                <w:u w:val="none"/>
                <w:lang w:val="ru-RU"/>
              </w:rPr>
              <w:t xml:space="preserve">#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strike w:val="0"/>
                <w:color w:val="000000" w:themeColor="text1"/>
                <w:spacing w:val="0"/>
                <w:sz w:val="28"/>
                <w:szCs w:val="28"/>
                <w:u w:val="none"/>
                <w:lang w:val="ru-RU"/>
              </w:rPr>
              <w:t xml:space="preserve"> Пермьвпорядке: Орджоникидзевский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103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0"/>
        </w:trPr>
        <w:tc>
          <w:tcPr>
            <w:gridSpan w:val="2"/>
            <w:tcW w:w="4819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Свердловский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103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0"/>
        </w:trPr>
        <w:tc>
          <w:tcPr>
            <w:tcW w:w="567" w:type="dxa"/>
            <w:textDirection w:val="lrTb"/>
            <w:noWrap w:val="false"/>
          </w:tcPr>
          <w:p>
            <w:pPr>
              <w:contextualSpacing w:val="0"/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strike w:val="0"/>
                <w:color w:val="000000" w:themeColor="text1"/>
                <w:spacing w:val="0"/>
                <w:sz w:val="28"/>
                <w:szCs w:val="28"/>
                <w:u w:val="none"/>
                <w:lang w:val="ru-RU"/>
              </w:rPr>
              <w:t xml:space="preserve">#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strike w:val="0"/>
                <w:color w:val="000000" w:themeColor="text1"/>
                <w:spacing w:val="0"/>
                <w:sz w:val="28"/>
                <w:szCs w:val="28"/>
                <w:u w:val="none"/>
                <w:lang w:val="ru-RU"/>
              </w:rPr>
              <w:t xml:space="preserve"> Пермьвпорядке: Свердловский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103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0"/>
        </w:trPr>
        <w:tc>
          <w:tcPr>
            <w:tcW w:w="567" w:type="dxa"/>
            <w:textDirection w:val="lrTb"/>
            <w:noWrap w:val="false"/>
          </w:tcPr>
          <w:p>
            <w:pPr>
              <w:contextualSpacing w:val="0"/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strike w:val="0"/>
                <w:color w:val="000000" w:themeColor="text1"/>
                <w:spacing w:val="0"/>
                <w:sz w:val="28"/>
                <w:szCs w:val="28"/>
                <w:u w:val="none"/>
                <w:lang w:val="ru-RU"/>
              </w:rPr>
              <w:t xml:space="preserve">#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aps w:val="0"/>
                <w:smallCaps w:val="0"/>
                <w:strike w:val="0"/>
                <w:color w:val="000000" w:themeColor="text1"/>
                <w:spacing w:val="0"/>
                <w:sz w:val="28"/>
                <w:szCs w:val="28"/>
                <w:u w:val="none"/>
                <w:lang w:val="ru-RU"/>
              </w:rPr>
              <w:t xml:space="preserve"> Пермьвпорядке: Новые Ляды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103" w:type="dxa"/>
            <w:vMerge w:val="continue"/>
            <w:textDirection w:val="lrTb"/>
            <w:noWrap w:val="false"/>
          </w:tcPr>
          <w:p>
            <w:r/>
            <w:r/>
          </w:p>
        </w:tc>
      </w:tr>
    </w:tbl>
    <w:p>
      <w:pPr>
        <w:pStyle w:val="896"/>
        <w:contextualSpacing w:val="0"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213" w:right="567" w:bottom="1134" w:left="1417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40803050406030204"/>
  </w:font>
  <w:font w:name="Wingdings">
    <w:panose1 w:val="05010000000000000000"/>
  </w:font>
  <w:font w:name="Symbol">
    <w:panose1 w:val="05010000000000000000"/>
  </w:font>
  <w:font w:name="TimesNewRoman">
    <w:panose1 w:val="02020603050405020304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9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7"/>
      <w:jc w:val="center"/>
      <w:rPr>
        <w:rFonts w:ascii="Times New Roman" w:hAnsi="Times New Roman" w:cs="Times New Roman"/>
        <w:sz w:val="20"/>
        <w:szCs w:val="20"/>
      </w:rPr>
    </w:pPr>
    <w:fldSimple w:instr="PAGE \* MERGEFORMAT">
      <w:r>
        <w:rPr>
          <w:rFonts w:ascii="Times New Roman" w:hAnsi="Times New Roman" w:eastAsia="Times New Roman" w:cs="Times New Roman"/>
          <w:sz w:val="20"/>
          <w:szCs w:val="20"/>
        </w:rPr>
        <w:t xml:space="preserve">1</w:t>
      </w:r>
    </w:fldSimple>
    <w:r>
      <w:rPr>
        <w:rFonts w:ascii="Times New Roman" w:hAnsi="Times New Roman" w:eastAsia="Times New Roman" w:cs="Times New Roman"/>
        <w:sz w:val="20"/>
        <w:szCs w:val="20"/>
      </w:rPr>
    </w:r>
    <w:r>
      <w:rPr>
        <w:rFonts w:ascii="Times New Roman" w:hAnsi="Times New Roman" w:cs="Times New Roman"/>
        <w:sz w:val="20"/>
        <w:szCs w:val="20"/>
      </w:rPr>
    </w:r>
    <w:r>
      <w:rPr>
        <w:rFonts w:ascii="Times New Roman" w:hAnsi="Times New Roman" w:cs="Times New Roman"/>
        <w:sz w:val="20"/>
        <w:szCs w:val="20"/>
      </w:rPr>
    </w:r>
  </w:p>
  <w:p>
    <w:pPr>
      <w:pStyle w:val="907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</w:rPr>
    </w:r>
    <w:r>
      <w:rPr>
        <w:rFonts w:ascii="Times New Roman" w:hAnsi="Times New Roman" w:cs="Times New Roman"/>
        <w:sz w:val="20"/>
        <w:szCs w:val="20"/>
      </w:rPr>
    </w:r>
    <w:r>
      <w:rPr>
        <w:rFonts w:ascii="Times New Roman" w:hAnsi="Times New Roman" w:cs="Times New Roman"/>
        <w:sz w:val="20"/>
        <w:szCs w:val="2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58" w:hanging="18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58" w:hanging="18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578" w:hanging="36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3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04">
    <w:name w:val="Heading 1"/>
    <w:basedOn w:val="703"/>
    <w:next w:val="703"/>
    <w:link w:val="731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05">
    <w:name w:val="Heading 2"/>
    <w:basedOn w:val="703"/>
    <w:next w:val="703"/>
    <w:link w:val="732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06">
    <w:name w:val="Heading 3"/>
    <w:basedOn w:val="703"/>
    <w:next w:val="703"/>
    <w:link w:val="733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07">
    <w:name w:val="Heading 4"/>
    <w:basedOn w:val="703"/>
    <w:next w:val="703"/>
    <w:link w:val="734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703"/>
    <w:next w:val="703"/>
    <w:link w:val="735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9">
    <w:name w:val="Heading 6"/>
    <w:basedOn w:val="703"/>
    <w:next w:val="703"/>
    <w:link w:val="736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10">
    <w:name w:val="Heading 7"/>
    <w:basedOn w:val="703"/>
    <w:next w:val="703"/>
    <w:link w:val="737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11">
    <w:name w:val="Heading 8"/>
    <w:basedOn w:val="703"/>
    <w:next w:val="703"/>
    <w:link w:val="738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12">
    <w:name w:val="Heading 9"/>
    <w:basedOn w:val="703"/>
    <w:next w:val="703"/>
    <w:link w:val="739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 w:default="1">
    <w:name w:val="Default Paragraph Font"/>
    <w:uiPriority w:val="1"/>
    <w:semiHidden/>
    <w:unhideWhenUsed/>
  </w:style>
  <w:style w:type="table" w:styleId="7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5" w:default="1">
    <w:name w:val="No List"/>
    <w:uiPriority w:val="99"/>
    <w:semiHidden/>
    <w:unhideWhenUsed/>
  </w:style>
  <w:style w:type="character" w:styleId="716" w:customStyle="1">
    <w:name w:val="Heading 1 Char"/>
    <w:basedOn w:val="713"/>
    <w:uiPriority w:val="9"/>
    <w:rPr>
      <w:rFonts w:ascii="Arial" w:hAnsi="Arial" w:eastAsia="Arial" w:cs="Arial"/>
      <w:sz w:val="40"/>
      <w:szCs w:val="40"/>
    </w:rPr>
  </w:style>
  <w:style w:type="character" w:styleId="717" w:customStyle="1">
    <w:name w:val="Heading 2 Char"/>
    <w:basedOn w:val="713"/>
    <w:uiPriority w:val="9"/>
    <w:rPr>
      <w:rFonts w:ascii="Arial" w:hAnsi="Arial" w:eastAsia="Arial" w:cs="Arial"/>
      <w:sz w:val="34"/>
    </w:rPr>
  </w:style>
  <w:style w:type="character" w:styleId="718" w:customStyle="1">
    <w:name w:val="Heading 3 Char"/>
    <w:basedOn w:val="713"/>
    <w:uiPriority w:val="9"/>
    <w:rPr>
      <w:rFonts w:ascii="Arial" w:hAnsi="Arial" w:eastAsia="Arial" w:cs="Arial"/>
      <w:sz w:val="30"/>
      <w:szCs w:val="30"/>
    </w:rPr>
  </w:style>
  <w:style w:type="character" w:styleId="719" w:customStyle="1">
    <w:name w:val="Heading 4 Char"/>
    <w:basedOn w:val="713"/>
    <w:uiPriority w:val="9"/>
    <w:rPr>
      <w:rFonts w:ascii="Arial" w:hAnsi="Arial" w:eastAsia="Arial" w:cs="Arial"/>
      <w:b/>
      <w:bCs/>
      <w:sz w:val="26"/>
      <w:szCs w:val="26"/>
    </w:rPr>
  </w:style>
  <w:style w:type="character" w:styleId="720" w:customStyle="1">
    <w:name w:val="Heading 5 Char"/>
    <w:basedOn w:val="713"/>
    <w:uiPriority w:val="9"/>
    <w:rPr>
      <w:rFonts w:ascii="Arial" w:hAnsi="Arial" w:eastAsia="Arial" w:cs="Arial"/>
      <w:b/>
      <w:bCs/>
      <w:sz w:val="24"/>
      <w:szCs w:val="24"/>
    </w:rPr>
  </w:style>
  <w:style w:type="character" w:styleId="721" w:customStyle="1">
    <w:name w:val="Heading 6 Char"/>
    <w:basedOn w:val="713"/>
    <w:uiPriority w:val="9"/>
    <w:rPr>
      <w:rFonts w:ascii="Arial" w:hAnsi="Arial" w:eastAsia="Arial" w:cs="Arial"/>
      <w:b/>
      <w:bCs/>
      <w:sz w:val="22"/>
      <w:szCs w:val="22"/>
    </w:rPr>
  </w:style>
  <w:style w:type="character" w:styleId="722" w:customStyle="1">
    <w:name w:val="Heading 7 Char"/>
    <w:basedOn w:val="71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3" w:customStyle="1">
    <w:name w:val="Heading 8 Char"/>
    <w:basedOn w:val="713"/>
    <w:uiPriority w:val="9"/>
    <w:rPr>
      <w:rFonts w:ascii="Arial" w:hAnsi="Arial" w:eastAsia="Arial" w:cs="Arial"/>
      <w:i/>
      <w:iCs/>
      <w:sz w:val="22"/>
      <w:szCs w:val="22"/>
    </w:rPr>
  </w:style>
  <w:style w:type="character" w:styleId="724" w:customStyle="1">
    <w:name w:val="Heading 9 Char"/>
    <w:basedOn w:val="713"/>
    <w:uiPriority w:val="9"/>
    <w:rPr>
      <w:rFonts w:ascii="Arial" w:hAnsi="Arial" w:eastAsia="Arial" w:cs="Arial"/>
      <w:i/>
      <w:iCs/>
      <w:sz w:val="21"/>
      <w:szCs w:val="21"/>
    </w:rPr>
  </w:style>
  <w:style w:type="character" w:styleId="725" w:customStyle="1">
    <w:name w:val="Title Char"/>
    <w:basedOn w:val="713"/>
    <w:uiPriority w:val="10"/>
    <w:rPr>
      <w:sz w:val="48"/>
      <w:szCs w:val="48"/>
    </w:rPr>
  </w:style>
  <w:style w:type="character" w:styleId="726" w:customStyle="1">
    <w:name w:val="Subtitle Char"/>
    <w:basedOn w:val="713"/>
    <w:uiPriority w:val="11"/>
    <w:rPr>
      <w:sz w:val="24"/>
      <w:szCs w:val="24"/>
    </w:rPr>
  </w:style>
  <w:style w:type="character" w:styleId="727" w:customStyle="1">
    <w:name w:val="Quote Char"/>
    <w:uiPriority w:val="29"/>
    <w:rPr>
      <w:i/>
    </w:rPr>
  </w:style>
  <w:style w:type="character" w:styleId="728" w:customStyle="1">
    <w:name w:val="Intense Quote Char"/>
    <w:uiPriority w:val="30"/>
    <w:rPr>
      <w:i/>
    </w:rPr>
  </w:style>
  <w:style w:type="character" w:styleId="729" w:customStyle="1">
    <w:name w:val="Footnote Text Char"/>
    <w:uiPriority w:val="99"/>
    <w:rPr>
      <w:sz w:val="18"/>
    </w:rPr>
  </w:style>
  <w:style w:type="character" w:styleId="730" w:customStyle="1">
    <w:name w:val="Endnote Text Char"/>
    <w:uiPriority w:val="99"/>
    <w:rPr>
      <w:sz w:val="20"/>
    </w:rPr>
  </w:style>
  <w:style w:type="character" w:styleId="731" w:customStyle="1">
    <w:name w:val="Заголовок 1 Знак"/>
    <w:basedOn w:val="713"/>
    <w:link w:val="704"/>
    <w:uiPriority w:val="9"/>
    <w:rPr>
      <w:rFonts w:ascii="Arial" w:hAnsi="Arial" w:eastAsia="Arial" w:cs="Arial"/>
      <w:sz w:val="40"/>
      <w:szCs w:val="40"/>
    </w:rPr>
  </w:style>
  <w:style w:type="character" w:styleId="732" w:customStyle="1">
    <w:name w:val="Заголовок 2 Знак"/>
    <w:basedOn w:val="713"/>
    <w:link w:val="705"/>
    <w:uiPriority w:val="9"/>
    <w:rPr>
      <w:rFonts w:ascii="Arial" w:hAnsi="Arial" w:eastAsia="Arial" w:cs="Arial"/>
      <w:sz w:val="34"/>
    </w:rPr>
  </w:style>
  <w:style w:type="character" w:styleId="733" w:customStyle="1">
    <w:name w:val="Заголовок 3 Знак"/>
    <w:basedOn w:val="713"/>
    <w:link w:val="706"/>
    <w:uiPriority w:val="9"/>
    <w:rPr>
      <w:rFonts w:ascii="Arial" w:hAnsi="Arial" w:eastAsia="Arial" w:cs="Arial"/>
      <w:sz w:val="30"/>
      <w:szCs w:val="30"/>
    </w:rPr>
  </w:style>
  <w:style w:type="character" w:styleId="734" w:customStyle="1">
    <w:name w:val="Заголовок 4 Знак"/>
    <w:basedOn w:val="713"/>
    <w:link w:val="707"/>
    <w:uiPriority w:val="9"/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Заголовок 5 Знак"/>
    <w:basedOn w:val="713"/>
    <w:link w:val="708"/>
    <w:uiPriority w:val="9"/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Заголовок 6 Знак"/>
    <w:basedOn w:val="713"/>
    <w:link w:val="709"/>
    <w:uiPriority w:val="9"/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Заголовок 7 Знак"/>
    <w:basedOn w:val="713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Заголовок 8 Знак"/>
    <w:basedOn w:val="713"/>
    <w:link w:val="711"/>
    <w:uiPriority w:val="9"/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Заголовок 9 Знак"/>
    <w:basedOn w:val="713"/>
    <w:link w:val="712"/>
    <w:uiPriority w:val="9"/>
    <w:rPr>
      <w:rFonts w:ascii="Arial" w:hAnsi="Arial" w:eastAsia="Arial" w:cs="Arial"/>
      <w:i/>
      <w:iCs/>
      <w:sz w:val="21"/>
      <w:szCs w:val="21"/>
    </w:rPr>
  </w:style>
  <w:style w:type="paragraph" w:styleId="740">
    <w:name w:val="No Spacing"/>
    <w:uiPriority w:val="1"/>
    <w:qFormat/>
  </w:style>
  <w:style w:type="paragraph" w:styleId="741">
    <w:name w:val="Title"/>
    <w:basedOn w:val="703"/>
    <w:next w:val="703"/>
    <w:link w:val="742"/>
    <w:uiPriority w:val="10"/>
    <w:qFormat/>
    <w:pPr>
      <w:contextualSpacing/>
      <w:spacing w:before="300"/>
    </w:pPr>
    <w:rPr>
      <w:sz w:val="48"/>
      <w:szCs w:val="48"/>
    </w:rPr>
  </w:style>
  <w:style w:type="character" w:styleId="742" w:customStyle="1">
    <w:name w:val="Название Знак"/>
    <w:basedOn w:val="713"/>
    <w:link w:val="741"/>
    <w:uiPriority w:val="10"/>
    <w:rPr>
      <w:sz w:val="48"/>
      <w:szCs w:val="48"/>
    </w:rPr>
  </w:style>
  <w:style w:type="paragraph" w:styleId="743">
    <w:name w:val="Subtitle"/>
    <w:basedOn w:val="703"/>
    <w:next w:val="703"/>
    <w:link w:val="744"/>
    <w:uiPriority w:val="11"/>
    <w:qFormat/>
    <w:pPr>
      <w:spacing w:before="200"/>
    </w:pPr>
    <w:rPr>
      <w:sz w:val="24"/>
      <w:szCs w:val="24"/>
    </w:rPr>
  </w:style>
  <w:style w:type="character" w:styleId="744" w:customStyle="1">
    <w:name w:val="Подзаголовок Знак"/>
    <w:basedOn w:val="713"/>
    <w:link w:val="743"/>
    <w:uiPriority w:val="11"/>
    <w:rPr>
      <w:sz w:val="24"/>
      <w:szCs w:val="24"/>
    </w:rPr>
  </w:style>
  <w:style w:type="paragraph" w:styleId="745">
    <w:name w:val="Quote"/>
    <w:basedOn w:val="703"/>
    <w:next w:val="703"/>
    <w:link w:val="746"/>
    <w:uiPriority w:val="29"/>
    <w:qFormat/>
    <w:pPr>
      <w:ind w:left="720" w:right="720"/>
    </w:pPr>
    <w:rPr>
      <w:i/>
    </w:rPr>
  </w:style>
  <w:style w:type="character" w:styleId="746" w:customStyle="1">
    <w:name w:val="Цитата 2 Знак"/>
    <w:link w:val="745"/>
    <w:uiPriority w:val="29"/>
    <w:rPr>
      <w:i/>
    </w:rPr>
  </w:style>
  <w:style w:type="paragraph" w:styleId="747">
    <w:name w:val="Intense Quote"/>
    <w:basedOn w:val="703"/>
    <w:next w:val="703"/>
    <w:link w:val="74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8" w:customStyle="1">
    <w:name w:val="Выделенная цитата Знак"/>
    <w:link w:val="747"/>
    <w:uiPriority w:val="30"/>
    <w:rPr>
      <w:i/>
    </w:rPr>
  </w:style>
  <w:style w:type="character" w:styleId="749" w:customStyle="1">
    <w:name w:val="Header Char"/>
    <w:basedOn w:val="713"/>
    <w:uiPriority w:val="99"/>
  </w:style>
  <w:style w:type="character" w:styleId="750" w:customStyle="1">
    <w:name w:val="Footer Char"/>
    <w:basedOn w:val="713"/>
    <w:uiPriority w:val="99"/>
  </w:style>
  <w:style w:type="paragraph" w:styleId="751">
    <w:name w:val="Caption"/>
    <w:basedOn w:val="703"/>
    <w:next w:val="703"/>
    <w:link w:val="752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52" w:customStyle="1">
    <w:name w:val="Caption Char"/>
    <w:uiPriority w:val="99"/>
  </w:style>
  <w:style w:type="table" w:styleId="753">
    <w:name w:val="Table Grid"/>
    <w:basedOn w:val="714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54" w:customStyle="1">
    <w:name w:val="Table Grid Light"/>
    <w:basedOn w:val="71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5">
    <w:name w:val="Plain Table 1"/>
    <w:basedOn w:val="71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>
    <w:name w:val="Plain Table 2"/>
    <w:basedOn w:val="71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7">
    <w:name w:val="Plain Table 3"/>
    <w:basedOn w:val="71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8">
    <w:name w:val="Plain Table 4"/>
    <w:basedOn w:val="71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Plain Table 5"/>
    <w:basedOn w:val="71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0">
    <w:name w:val="Grid Table 1 Light"/>
    <w:basedOn w:val="71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1"/>
    <w:basedOn w:val="71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2"/>
    <w:basedOn w:val="71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3"/>
    <w:basedOn w:val="71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Grid Table 1 Light - Accent 4"/>
    <w:basedOn w:val="71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Grid Table 1 Light - Accent 5"/>
    <w:basedOn w:val="71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6"/>
    <w:basedOn w:val="71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2"/>
    <w:basedOn w:val="71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1"/>
    <w:basedOn w:val="71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2"/>
    <w:basedOn w:val="71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2 - Accent 3"/>
    <w:basedOn w:val="71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2 - Accent 4"/>
    <w:basedOn w:val="71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2 - Accent 5"/>
    <w:basedOn w:val="71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2 - Accent 6"/>
    <w:basedOn w:val="71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"/>
    <w:basedOn w:val="71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1"/>
    <w:basedOn w:val="71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2"/>
    <w:basedOn w:val="71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3 - Accent 3"/>
    <w:basedOn w:val="71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3 - Accent 4"/>
    <w:basedOn w:val="71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3 - Accent 5"/>
    <w:basedOn w:val="71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3 - Accent 6"/>
    <w:basedOn w:val="71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4"/>
    <w:basedOn w:val="71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2" w:customStyle="1">
    <w:name w:val="Grid Table 4 - Accent 1"/>
    <w:basedOn w:val="714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83" w:customStyle="1">
    <w:name w:val="Grid Table 4 - Accent 2"/>
    <w:basedOn w:val="714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84" w:customStyle="1">
    <w:name w:val="Grid Table 4 - Accent 3"/>
    <w:basedOn w:val="714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85" w:customStyle="1">
    <w:name w:val="Grid Table 4 - Accent 4"/>
    <w:basedOn w:val="71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86" w:customStyle="1">
    <w:name w:val="Grid Table 4 - Accent 5"/>
    <w:basedOn w:val="714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7" w:customStyle="1">
    <w:name w:val="Grid Table 4 - Accent 6"/>
    <w:basedOn w:val="714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8">
    <w:name w:val="Grid Table 5 Dark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- Accent 1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 - Accent 2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91" w:customStyle="1">
    <w:name w:val="Grid Table 5 Dark - Accent 3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92" w:customStyle="1">
    <w:name w:val="Grid Table 5 Dark- Accent 4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93" w:customStyle="1">
    <w:name w:val="Grid Table 5 Dark - Accent 5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94" w:customStyle="1">
    <w:name w:val="Grid Table 5 Dark - Accent 6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95">
    <w:name w:val="Grid Table 6 Colorful"/>
    <w:basedOn w:val="71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6" w:customStyle="1">
    <w:name w:val="Grid Table 6 Colorful - Accent 1"/>
    <w:basedOn w:val="714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7" w:customStyle="1">
    <w:name w:val="Grid Table 6 Colorful - Accent 2"/>
    <w:basedOn w:val="71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8" w:customStyle="1">
    <w:name w:val="Grid Table 6 Colorful - Accent 3"/>
    <w:basedOn w:val="714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9" w:customStyle="1">
    <w:name w:val="Grid Table 6 Colorful - Accent 4"/>
    <w:basedOn w:val="71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00" w:customStyle="1">
    <w:name w:val="Grid Table 6 Colorful - Accent 5"/>
    <w:basedOn w:val="714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1" w:customStyle="1">
    <w:name w:val="Grid Table 6 Colorful - Accent 6"/>
    <w:basedOn w:val="714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2">
    <w:name w:val="Grid Table 7 Colorful"/>
    <w:basedOn w:val="71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7 Colorful - Accent 1"/>
    <w:basedOn w:val="714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7 Colorful - Accent 2"/>
    <w:basedOn w:val="714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7 Colorful - Accent 3"/>
    <w:basedOn w:val="714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7 Colorful - Accent 4"/>
    <w:basedOn w:val="71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7 Colorful - Accent 5"/>
    <w:basedOn w:val="714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7 Colorful - Accent 6"/>
    <w:basedOn w:val="714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"/>
    <w:basedOn w:val="714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1"/>
    <w:basedOn w:val="714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2"/>
    <w:basedOn w:val="714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3"/>
    <w:basedOn w:val="714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1 Light - Accent 4"/>
    <w:basedOn w:val="714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 - Accent 5"/>
    <w:basedOn w:val="714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6"/>
    <w:basedOn w:val="714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2"/>
    <w:basedOn w:val="71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1"/>
    <w:basedOn w:val="714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2"/>
    <w:basedOn w:val="714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9" w:customStyle="1">
    <w:name w:val="List Table 2 - Accent 3"/>
    <w:basedOn w:val="714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20" w:customStyle="1">
    <w:name w:val="List Table 2 - Accent 4"/>
    <w:basedOn w:val="71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21" w:customStyle="1">
    <w:name w:val="List Table 2 - Accent 5"/>
    <w:basedOn w:val="714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6"/>
    <w:basedOn w:val="714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23">
    <w:name w:val="List Table 3"/>
    <w:basedOn w:val="71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1"/>
    <w:basedOn w:val="714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2"/>
    <w:basedOn w:val="71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3"/>
    <w:basedOn w:val="714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3 - Accent 4"/>
    <w:basedOn w:val="71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3 - Accent 5"/>
    <w:basedOn w:val="714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6"/>
    <w:basedOn w:val="714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"/>
    <w:basedOn w:val="71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1"/>
    <w:basedOn w:val="714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2"/>
    <w:basedOn w:val="714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3"/>
    <w:basedOn w:val="714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4 - Accent 4"/>
    <w:basedOn w:val="71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 - Accent 5"/>
    <w:basedOn w:val="714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6"/>
    <w:basedOn w:val="714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5 Dark"/>
    <w:basedOn w:val="71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1"/>
    <w:basedOn w:val="714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2"/>
    <w:basedOn w:val="714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 w:customStyle="1">
    <w:name w:val="List Table 5 Dark - Accent 3"/>
    <w:basedOn w:val="714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1" w:customStyle="1">
    <w:name w:val="List Table 5 Dark - Accent 4"/>
    <w:basedOn w:val="71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2" w:customStyle="1">
    <w:name w:val="List Table 5 Dark - Accent 5"/>
    <w:basedOn w:val="714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 w:customStyle="1">
    <w:name w:val="List Table 5 Dark - Accent 6"/>
    <w:basedOn w:val="714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>
    <w:name w:val="List Table 6 Colorful"/>
    <w:basedOn w:val="71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5" w:customStyle="1">
    <w:name w:val="List Table 6 Colorful - Accent 1"/>
    <w:basedOn w:val="714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46" w:customStyle="1">
    <w:name w:val="List Table 6 Colorful - Accent 2"/>
    <w:basedOn w:val="714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7" w:customStyle="1">
    <w:name w:val="List Table 6 Colorful - Accent 3"/>
    <w:basedOn w:val="714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8" w:customStyle="1">
    <w:name w:val="List Table 6 Colorful - Accent 4"/>
    <w:basedOn w:val="71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9" w:customStyle="1">
    <w:name w:val="List Table 6 Colorful - Accent 5"/>
    <w:basedOn w:val="714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50" w:customStyle="1">
    <w:name w:val="List Table 6 Colorful - Accent 6"/>
    <w:basedOn w:val="714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51">
    <w:name w:val="List Table 7 Colorful"/>
    <w:basedOn w:val="71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7 Colorful - Accent 1"/>
    <w:basedOn w:val="714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7 Colorful - Accent 2"/>
    <w:basedOn w:val="714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7 Colorful - Accent 3"/>
    <w:basedOn w:val="714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7 Colorful - Accent 4"/>
    <w:basedOn w:val="71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7 Colorful - Accent 5"/>
    <w:basedOn w:val="714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7 Colorful - Accent 6"/>
    <w:basedOn w:val="714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ned - Accent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9" w:customStyle="1">
    <w:name w:val="Lined - Accent 1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0" w:customStyle="1">
    <w:name w:val="Lined - Accent 2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1" w:customStyle="1">
    <w:name w:val="Lined - Accent 3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2" w:customStyle="1">
    <w:name w:val="Lined - Accent 4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3" w:customStyle="1">
    <w:name w:val="Lined - Accent 5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4" w:customStyle="1">
    <w:name w:val="Lined - Accent 6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5" w:customStyle="1">
    <w:name w:val="Bordered &amp; Lined - Accent"/>
    <w:basedOn w:val="714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6" w:customStyle="1">
    <w:name w:val="Bordered &amp; Lined - Accent 1"/>
    <w:basedOn w:val="714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7" w:customStyle="1">
    <w:name w:val="Bordered &amp; Lined - Accent 2"/>
    <w:basedOn w:val="714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8" w:customStyle="1">
    <w:name w:val="Bordered &amp; Lined - Accent 3"/>
    <w:basedOn w:val="714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9" w:customStyle="1">
    <w:name w:val="Bordered &amp; Lined - Accent 4"/>
    <w:basedOn w:val="714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0" w:customStyle="1">
    <w:name w:val="Bordered &amp; Lined - Accent 5"/>
    <w:basedOn w:val="714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1" w:customStyle="1">
    <w:name w:val="Bordered &amp; Lined - Accent 6"/>
    <w:basedOn w:val="714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2" w:customStyle="1">
    <w:name w:val="Bordered"/>
    <w:basedOn w:val="714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3" w:customStyle="1">
    <w:name w:val="Bordered - Accent 1"/>
    <w:basedOn w:val="71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74" w:customStyle="1">
    <w:name w:val="Bordered - Accent 2"/>
    <w:basedOn w:val="71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75" w:customStyle="1">
    <w:name w:val="Bordered - Accent 3"/>
    <w:basedOn w:val="71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76" w:customStyle="1">
    <w:name w:val="Bordered - Accent 4"/>
    <w:basedOn w:val="71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7" w:customStyle="1">
    <w:name w:val="Bordered - Accent 5"/>
    <w:basedOn w:val="71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8" w:customStyle="1">
    <w:name w:val="Bordered - Accent 6"/>
    <w:basedOn w:val="71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79">
    <w:name w:val="footnote text"/>
    <w:basedOn w:val="703"/>
    <w:link w:val="880"/>
    <w:uiPriority w:val="99"/>
    <w:semiHidden/>
    <w:unhideWhenUsed/>
    <w:pPr>
      <w:spacing w:after="40" w:line="240" w:lineRule="auto"/>
    </w:pPr>
    <w:rPr>
      <w:sz w:val="18"/>
    </w:rPr>
  </w:style>
  <w:style w:type="character" w:styleId="880" w:customStyle="1">
    <w:name w:val="Текст сноски Знак"/>
    <w:link w:val="879"/>
    <w:uiPriority w:val="99"/>
    <w:rPr>
      <w:sz w:val="18"/>
    </w:rPr>
  </w:style>
  <w:style w:type="character" w:styleId="881">
    <w:name w:val="footnote reference"/>
    <w:basedOn w:val="713"/>
    <w:uiPriority w:val="99"/>
    <w:unhideWhenUsed/>
    <w:rPr>
      <w:vertAlign w:val="superscript"/>
    </w:rPr>
  </w:style>
  <w:style w:type="paragraph" w:styleId="882">
    <w:name w:val="endnote text"/>
    <w:basedOn w:val="703"/>
    <w:link w:val="883"/>
    <w:uiPriority w:val="99"/>
    <w:semiHidden/>
    <w:unhideWhenUsed/>
    <w:pPr>
      <w:spacing w:after="0" w:line="240" w:lineRule="auto"/>
    </w:pPr>
    <w:rPr>
      <w:sz w:val="20"/>
    </w:rPr>
  </w:style>
  <w:style w:type="character" w:styleId="883" w:customStyle="1">
    <w:name w:val="Текст концевой сноски Знак"/>
    <w:link w:val="882"/>
    <w:uiPriority w:val="99"/>
    <w:rPr>
      <w:sz w:val="20"/>
    </w:rPr>
  </w:style>
  <w:style w:type="character" w:styleId="884">
    <w:name w:val="endnote reference"/>
    <w:basedOn w:val="713"/>
    <w:uiPriority w:val="99"/>
    <w:semiHidden/>
    <w:unhideWhenUsed/>
    <w:rPr>
      <w:vertAlign w:val="superscript"/>
    </w:rPr>
  </w:style>
  <w:style w:type="paragraph" w:styleId="885">
    <w:name w:val="toc 1"/>
    <w:basedOn w:val="703"/>
    <w:next w:val="703"/>
    <w:uiPriority w:val="39"/>
    <w:unhideWhenUsed/>
    <w:pPr>
      <w:spacing w:after="57"/>
    </w:pPr>
  </w:style>
  <w:style w:type="paragraph" w:styleId="886">
    <w:name w:val="toc 2"/>
    <w:basedOn w:val="703"/>
    <w:next w:val="703"/>
    <w:uiPriority w:val="39"/>
    <w:unhideWhenUsed/>
    <w:pPr>
      <w:ind w:left="283"/>
      <w:spacing w:after="57"/>
    </w:pPr>
  </w:style>
  <w:style w:type="paragraph" w:styleId="887">
    <w:name w:val="toc 3"/>
    <w:basedOn w:val="703"/>
    <w:next w:val="703"/>
    <w:uiPriority w:val="39"/>
    <w:unhideWhenUsed/>
    <w:pPr>
      <w:ind w:left="567"/>
      <w:spacing w:after="57"/>
    </w:pPr>
  </w:style>
  <w:style w:type="paragraph" w:styleId="888">
    <w:name w:val="toc 4"/>
    <w:basedOn w:val="703"/>
    <w:next w:val="703"/>
    <w:uiPriority w:val="39"/>
    <w:unhideWhenUsed/>
    <w:pPr>
      <w:ind w:left="850"/>
      <w:spacing w:after="57"/>
    </w:pPr>
  </w:style>
  <w:style w:type="paragraph" w:styleId="889">
    <w:name w:val="toc 5"/>
    <w:basedOn w:val="703"/>
    <w:next w:val="703"/>
    <w:uiPriority w:val="39"/>
    <w:unhideWhenUsed/>
    <w:pPr>
      <w:ind w:left="1134"/>
      <w:spacing w:after="57"/>
    </w:pPr>
  </w:style>
  <w:style w:type="paragraph" w:styleId="890">
    <w:name w:val="toc 6"/>
    <w:basedOn w:val="703"/>
    <w:next w:val="703"/>
    <w:uiPriority w:val="39"/>
    <w:unhideWhenUsed/>
    <w:pPr>
      <w:ind w:left="1417"/>
      <w:spacing w:after="57"/>
    </w:pPr>
  </w:style>
  <w:style w:type="paragraph" w:styleId="891">
    <w:name w:val="toc 7"/>
    <w:basedOn w:val="703"/>
    <w:next w:val="703"/>
    <w:uiPriority w:val="39"/>
    <w:unhideWhenUsed/>
    <w:pPr>
      <w:ind w:left="1701"/>
      <w:spacing w:after="57"/>
    </w:pPr>
  </w:style>
  <w:style w:type="paragraph" w:styleId="892">
    <w:name w:val="toc 8"/>
    <w:basedOn w:val="703"/>
    <w:next w:val="703"/>
    <w:uiPriority w:val="39"/>
    <w:unhideWhenUsed/>
    <w:pPr>
      <w:ind w:left="1984"/>
      <w:spacing w:after="57"/>
    </w:pPr>
  </w:style>
  <w:style w:type="paragraph" w:styleId="893">
    <w:name w:val="toc 9"/>
    <w:basedOn w:val="703"/>
    <w:next w:val="703"/>
    <w:uiPriority w:val="39"/>
    <w:unhideWhenUsed/>
    <w:pPr>
      <w:ind w:left="2268"/>
      <w:spacing w:after="57"/>
    </w:pPr>
  </w:style>
  <w:style w:type="paragraph" w:styleId="894">
    <w:name w:val="TOC Heading"/>
    <w:uiPriority w:val="39"/>
    <w:unhideWhenUsed/>
  </w:style>
  <w:style w:type="paragraph" w:styleId="895">
    <w:name w:val="table of figures"/>
    <w:basedOn w:val="703"/>
    <w:next w:val="703"/>
    <w:uiPriority w:val="99"/>
    <w:unhideWhenUsed/>
    <w:pPr>
      <w:spacing w:after="0"/>
    </w:pPr>
  </w:style>
  <w:style w:type="paragraph" w:styleId="896" w:customStyle="1">
    <w:name w:val="ConsPlusNormal"/>
    <w:pPr>
      <w:widowControl w:val="off"/>
    </w:pPr>
    <w:rPr>
      <w:rFonts w:eastAsia="Times New Roman" w:cs="Calibri"/>
      <w:sz w:val="22"/>
    </w:rPr>
  </w:style>
  <w:style w:type="paragraph" w:styleId="897" w:customStyle="1">
    <w:name w:val="ConsPlusTitle"/>
    <w:pPr>
      <w:widowControl w:val="off"/>
    </w:pPr>
    <w:rPr>
      <w:rFonts w:eastAsia="Times New Roman" w:cs="Calibri"/>
      <w:b/>
      <w:sz w:val="22"/>
    </w:rPr>
  </w:style>
  <w:style w:type="paragraph" w:styleId="898" w:customStyle="1">
    <w:name w:val="ConsPlusTitlePage"/>
    <w:pPr>
      <w:widowControl w:val="off"/>
    </w:pPr>
    <w:rPr>
      <w:rFonts w:ascii="Tahoma" w:hAnsi="Tahoma" w:eastAsia="Times New Roman" w:cs="Tahoma"/>
    </w:rPr>
  </w:style>
  <w:style w:type="character" w:styleId="899">
    <w:name w:val="annotation reference"/>
    <w:basedOn w:val="713"/>
    <w:uiPriority w:val="99"/>
    <w:semiHidden/>
    <w:unhideWhenUsed/>
    <w:rPr>
      <w:sz w:val="16"/>
      <w:szCs w:val="16"/>
    </w:rPr>
  </w:style>
  <w:style w:type="paragraph" w:styleId="900">
    <w:name w:val="annotation text"/>
    <w:basedOn w:val="703"/>
    <w:link w:val="901"/>
    <w:uiPriority w:val="99"/>
    <w:semiHidden/>
    <w:unhideWhenUsed/>
    <w:rPr>
      <w:sz w:val="20"/>
      <w:szCs w:val="20"/>
    </w:rPr>
  </w:style>
  <w:style w:type="character" w:styleId="901" w:customStyle="1">
    <w:name w:val="Текст примечания Знак"/>
    <w:basedOn w:val="713"/>
    <w:link w:val="900"/>
    <w:uiPriority w:val="99"/>
    <w:semiHidden/>
    <w:rPr>
      <w:lang w:eastAsia="en-US"/>
    </w:rPr>
  </w:style>
  <w:style w:type="paragraph" w:styleId="902">
    <w:name w:val="annotation subject"/>
    <w:basedOn w:val="900"/>
    <w:next w:val="900"/>
    <w:link w:val="903"/>
    <w:uiPriority w:val="99"/>
    <w:semiHidden/>
    <w:unhideWhenUsed/>
    <w:rPr>
      <w:b/>
      <w:bCs/>
    </w:rPr>
  </w:style>
  <w:style w:type="character" w:styleId="903" w:customStyle="1">
    <w:name w:val="Тема примечания Знак"/>
    <w:basedOn w:val="901"/>
    <w:link w:val="902"/>
    <w:uiPriority w:val="99"/>
    <w:semiHidden/>
    <w:rPr>
      <w:b/>
      <w:bCs/>
      <w:lang w:eastAsia="en-US"/>
    </w:rPr>
  </w:style>
  <w:style w:type="paragraph" w:styleId="904">
    <w:name w:val="Balloon Text"/>
    <w:basedOn w:val="703"/>
    <w:link w:val="90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05" w:customStyle="1">
    <w:name w:val="Текст выноски Знак"/>
    <w:basedOn w:val="713"/>
    <w:link w:val="904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906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907">
    <w:name w:val="Header"/>
    <w:basedOn w:val="703"/>
    <w:link w:val="90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8" w:customStyle="1">
    <w:name w:val="Верхний колонтитул Знак"/>
    <w:basedOn w:val="713"/>
    <w:link w:val="907"/>
    <w:uiPriority w:val="99"/>
    <w:rPr>
      <w:sz w:val="22"/>
      <w:szCs w:val="22"/>
      <w:lang w:eastAsia="en-US"/>
    </w:rPr>
  </w:style>
  <w:style w:type="paragraph" w:styleId="909">
    <w:name w:val="Footer"/>
    <w:basedOn w:val="703"/>
    <w:link w:val="91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10" w:customStyle="1">
    <w:name w:val="Нижний колонтитул Знак"/>
    <w:basedOn w:val="713"/>
    <w:link w:val="909"/>
    <w:uiPriority w:val="99"/>
    <w:rPr>
      <w:sz w:val="22"/>
      <w:szCs w:val="22"/>
      <w:lang w:eastAsia="en-US"/>
    </w:rPr>
  </w:style>
  <w:style w:type="paragraph" w:styleId="911" w:customStyle="1">
    <w:name w:val="Исполнитель"/>
    <w:basedOn w:val="912"/>
    <w:pPr>
      <w:spacing w:after="0" w:line="240" w:lineRule="exact"/>
    </w:pPr>
    <w:rPr>
      <w:rFonts w:ascii="Times New Roman" w:hAnsi="Times New Roman" w:eastAsia="Times New Roman"/>
      <w:sz w:val="24"/>
      <w:szCs w:val="20"/>
      <w:lang w:eastAsia="ru-RU"/>
    </w:rPr>
  </w:style>
  <w:style w:type="paragraph" w:styleId="912">
    <w:name w:val="Body Text"/>
    <w:basedOn w:val="703"/>
    <w:link w:val="913"/>
    <w:uiPriority w:val="99"/>
    <w:semiHidden/>
    <w:unhideWhenUsed/>
    <w:pPr>
      <w:spacing w:after="120"/>
    </w:pPr>
  </w:style>
  <w:style w:type="character" w:styleId="913" w:customStyle="1">
    <w:name w:val="Основной текст Знак"/>
    <w:basedOn w:val="713"/>
    <w:link w:val="912"/>
    <w:uiPriority w:val="99"/>
    <w:semiHidden/>
    <w:rPr>
      <w:sz w:val="22"/>
      <w:szCs w:val="22"/>
      <w:lang w:eastAsia="en-US"/>
    </w:rPr>
  </w:style>
  <w:style w:type="paragraph" w:styleId="914">
    <w:name w:val="List Paragraph"/>
    <w:basedOn w:val="703"/>
    <w:uiPriority w:val="34"/>
    <w:qFormat/>
    <w:pPr>
      <w:contextualSpacing/>
      <w:ind w:left="720"/>
    </w:pPr>
  </w:style>
  <w:style w:type="paragraph" w:styleId="915" w:customStyle="1">
    <w:name w:val="Название объекта1"/>
    <w:basedOn w:val="703"/>
    <w:next w:val="703"/>
    <w:uiPriority w:val="35"/>
    <w:semiHidden/>
    <w:unhideWhenUsed/>
    <w:qFormat/>
    <w:pPr>
      <w:spacing w:line="240" w:lineRule="auto"/>
    </w:pPr>
    <w:rPr>
      <w:i/>
      <w:iCs/>
      <w:color w:val="1f497d"/>
      <w:sz w:val="18"/>
      <w:szCs w:val="18"/>
    </w:rPr>
  </w:style>
  <w:style w:type="character" w:styleId="916">
    <w:name w:val="Hyperlink"/>
    <w:basedOn w:val="713"/>
    <w:uiPriority w:val="99"/>
    <w:unhideWhenUsed/>
    <w:rPr>
      <w:color w:val="0000ff" w:themeColor="hyperlink"/>
      <w:u w:val="single"/>
    </w:rPr>
  </w:style>
  <w:style w:type="paragraph" w:styleId="917" w:customStyle="1">
    <w:name w:val="       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NewRoman" w:hAnsi="TimesNewRoman" w:eastAsia="TimesNewRoman" w:cs="TimesNew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paragraph" w:styleId="918" w:customStyle="1">
    <w:name w:val="       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Arial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media1.sv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bezymyannova-sa</dc:creator>
  <cp:lastModifiedBy>schelkunova-en</cp:lastModifiedBy>
  <cp:revision>63</cp:revision>
  <dcterms:created xsi:type="dcterms:W3CDTF">2024-08-09T06:24:00Z</dcterms:created>
  <dcterms:modified xsi:type="dcterms:W3CDTF">2026-09-16T05:58:25Z</dcterms:modified>
</cp:coreProperties>
</file>