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проекта инициативного бюджетирования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«Детско-игровая площадка «Нескучный город</w:t>
      </w:r>
      <w:r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проекта)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муниципальное образование город Пермь</w:t>
      </w:r>
      <w:r>
        <w:rPr>
          <w:rFonts w:ascii="Times New Roman" w:hAnsi="Times New Roman"/>
          <w:sz w:val="24"/>
          <w:u w:val="single"/>
        </w:rPr>
        <w:t xml:space="preserve">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муниципального образования)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поступлении денежных средств в разрезе источников финансирования: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88"/>
        <w:gridCol w:w="992"/>
        <w:gridCol w:w="850"/>
        <w:gridCol w:w="483"/>
        <w:gridCol w:w="821"/>
        <w:gridCol w:w="992"/>
        <w:gridCol w:w="992"/>
        <w:gridCol w:w="851"/>
        <w:gridCol w:w="607"/>
        <w:gridCol w:w="891"/>
        <w:gridCol w:w="992"/>
        <w:gridCol w:w="993"/>
        <w:gridCol w:w="850"/>
        <w:gridCol w:w="765"/>
        <w:gridCol w:w="1116"/>
        <w:gridCol w:w="1701"/>
      </w:tblGrid>
      <w:tr>
        <w:tc>
          <w:tcPr>
            <w:tcW w:type="dxa" w:w="41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type="dxa" w:w="433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type="dxa" w:w="47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неиспользованных средств, руб.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ДС2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ДС2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ДС3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ДС4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= 2 + 3 + 4 + 5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= 7 + 8 + 9 + 10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= 12 + 13 + 14 + 15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= 6 - 11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1 666 700,00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1 500 000,00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35</w:t>
            </w: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35</w:t>
            </w: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</w:t>
            </w:r>
            <w:r>
              <w:rPr>
                <w:rFonts w:ascii="Times New Roman" w:hAnsi="Times New Roman"/>
                <w:sz w:val="16"/>
              </w:rPr>
              <w:t>666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z w:val="16"/>
              </w:rPr>
              <w:t>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1 500 000,00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35</w:t>
            </w: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35</w:t>
            </w: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</w:t>
            </w:r>
            <w:r>
              <w:rPr>
                <w:rFonts w:ascii="Times New Roman" w:hAnsi="Times New Roman"/>
                <w:sz w:val="16"/>
              </w:rPr>
              <w:t>666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7</w:t>
            </w:r>
            <w:r>
              <w:rPr>
                <w:rFonts w:ascii="Times New Roman" w:hAnsi="Times New Roman"/>
                <w:sz w:val="16"/>
              </w:rPr>
              <w:t>00,00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1 500 000,00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35</w:t>
            </w: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35</w:t>
            </w: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</w:tbl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ДС1 - средства бюджета Пермского края;</w:t>
      </w:r>
    </w:p>
    <w:p w14:paraId="44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ДС2 - средства бюджета муниципального образования, за исключением инициативных платежей;</w:t>
      </w:r>
    </w:p>
    <w:p w14:paraId="45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ДС3 - денежные средства граждан;</w:t>
      </w:r>
    </w:p>
    <w:p w14:paraId="46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ДС4 - денежные средства индивидуальных предпринимателей и образованных в соответствии с законодательством Российской Федерации юридических лиц.</w:t>
      </w:r>
    </w:p>
    <w:p w14:paraId="47000000">
      <w:pPr>
        <w:sectPr>
          <w:pgSz w:h="11906" w:orient="landscape" w:w="16838"/>
          <w:pgMar w:bottom="850" w:footer="708" w:gutter="0" w:header="708" w:left="1134" w:right="426" w:top="284"/>
        </w:sectPr>
      </w:pPr>
    </w:p>
    <w:p w14:paraId="48000000">
      <w:pPr>
        <w:spacing w:after="0" w:before="24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Достижение показателей результативности использования субсидии, предусмотренных соглашением.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3"/>
        <w:gridCol w:w="6107"/>
        <w:gridCol w:w="950"/>
        <w:gridCol w:w="951"/>
        <w:gridCol w:w="1086"/>
      </w:tblGrid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6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муниципального(-ых) контракта(-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>) (договора(-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>), соглашения(-й)) в соответствии с действующим законодательством на выполнение работ, поставку товара, оказание услуг для муниципальных нужд в рамках реализации проекта на стоимость проекта с учетом экономии, образовавшейся в результате проведения процедур по определению поставщиков (подрядчиков, исполнителей)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173</w:t>
            </w:r>
          </w:p>
        </w:tc>
      </w:tr>
      <w:tr>
        <w:tc>
          <w:tcPr>
            <w:tcW w:type="dxa" w:w="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проекта инициативного бюджетирования в сроки, предусмотренные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"consultantplus://offline/ref=25588E6C3A1B606331313FBB3CD07EAE86AB9B0BACABB0164EBBB30522B34C3EB2BBD48F54404D9624ED33F00195418119D8DCE81F29FF51382DF8D1o8A6K"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Порядком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утвержденным постановлением Правительства Пермского края от 10 января 2017 г.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6-п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334</w:t>
            </w:r>
          </w:p>
        </w:tc>
      </w:tr>
    </w:tbl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500"/>
        <w:gridCol w:w="2579"/>
        <w:gridCol w:w="211"/>
        <w:gridCol w:w="586"/>
        <w:gridCol w:w="1349"/>
        <w:gridCol w:w="121"/>
        <w:gridCol w:w="340"/>
        <w:gridCol w:w="2381"/>
      </w:tblGrid>
      <w:tr>
        <w:tc>
          <w:tcPr>
            <w:tcW w:type="dxa" w:w="407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</w:t>
            </w:r>
            <w:r>
              <w:rPr>
                <w:rFonts w:ascii="Times New Roman" w:hAnsi="Times New Roman"/>
                <w:sz w:val="24"/>
              </w:rPr>
              <w:t xml:space="preserve">едатель </w:t>
            </w:r>
            <w:r>
              <w:rPr>
                <w:rFonts w:ascii="Times New Roman" w:hAnsi="Times New Roman"/>
                <w:sz w:val="24"/>
              </w:rPr>
              <w:t>МОО ТОС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Новобродовский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46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842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>А.В. Барановская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  <w:tr>
        <w:tc>
          <w:tcPr>
            <w:tcW w:type="dxa" w:w="9067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Достоверность сведений подтверждаю: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76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города Перми</w:t>
            </w:r>
          </w:p>
        </w:tc>
        <w:tc>
          <w:tcPr>
            <w:tcW w:type="dxa" w:w="181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38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Э.О. </w:t>
            </w:r>
            <w:r>
              <w:rPr>
                <w:rFonts w:ascii="Times New Roman" w:hAnsi="Times New Roman"/>
                <w:sz w:val="24"/>
                <w:u w:val="single"/>
              </w:rPr>
              <w:t>Соснин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  <w:tr>
        <w:tc>
          <w:tcPr>
            <w:tcW w:type="dxa" w:w="9067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</w:tr>
      <w:tr>
        <w:tc>
          <w:tcPr>
            <w:tcW w:type="dxa" w:w="4876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департамента финансов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города Перми</w:t>
            </w:r>
          </w:p>
        </w:tc>
        <w:tc>
          <w:tcPr>
            <w:tcW w:type="dxa" w:w="181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38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В.С. </w:t>
            </w:r>
            <w:r>
              <w:rPr>
                <w:rFonts w:ascii="Times New Roman" w:hAnsi="Times New Roman"/>
                <w:sz w:val="24"/>
                <w:u w:val="single"/>
              </w:rPr>
              <w:t>Титяпкина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  <w:tr>
        <w:tc>
          <w:tcPr>
            <w:tcW w:type="dxa" w:w="9067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_____________ 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дате предоставления отчета в Министерство территориального развития Пермс</w:t>
            </w:r>
            <w:r>
              <w:rPr>
                <w:rFonts w:ascii="Times New Roman" w:hAnsi="Times New Roman"/>
                <w:sz w:val="24"/>
              </w:rPr>
              <w:t>кого края «____» ___________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>
        <w:tc>
          <w:tcPr>
            <w:tcW w:type="dxa" w:w="150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ПРИНЯТ:</w:t>
            </w:r>
          </w:p>
        </w:tc>
        <w:tc>
          <w:tcPr>
            <w:tcW w:type="dxa" w:w="2790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Консультант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 xml:space="preserve"> отдела </w:t>
            </w:r>
            <w:r>
              <w:rPr>
                <w:rFonts w:ascii="Times New Roman" w:hAnsi="Times New Roman"/>
                <w:sz w:val="20"/>
              </w:rPr>
              <w:t xml:space="preserve">поддержки общественного самоуправления управления поддержки местных инициатив и правовой работы Министерства территориального развития Пермского края </w:t>
            </w:r>
            <w:r>
              <w:rPr>
                <w:rFonts w:ascii="Times New Roman" w:hAnsi="Times New Roman"/>
                <w:sz w:val="18"/>
              </w:rPr>
              <w:t>(должность ответственного лица)</w:t>
            </w:r>
          </w:p>
        </w:tc>
        <w:tc>
          <w:tcPr>
            <w:tcW w:type="dxa" w:w="2056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/______________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721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>Зебзеева М.В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  <w:tr>
        <w:tc>
          <w:tcPr>
            <w:tcW w:type="dxa" w:w="9067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_____________ 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14:paraId="7E000000"/>
    <w:sectPr>
      <w:pgSz w:h="16838" w:orient="portrait" w:w="11906"/>
      <w:pgMar w:bottom="568" w:footer="708" w:gutter="0" w:header="708" w:left="1418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2024-12-05T05:40:33Z</dcterms:modified>
</cp:coreProperties>
</file>