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ind w:right="-476"/>
        <w:rPr>
          <w:b/>
          <w:bCs/>
          <w:sz w:val="28"/>
          <w:szCs w:val="28"/>
          <w:lang w:val="ru-RU"/>
          <w14:ligatures w14:val="none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br w:type="textWrapping" w:clear="all"/>
      </w:r>
      <w:r>
        <w:rPr>
          <w:b/>
          <w:sz w:val="28"/>
          <w:szCs w:val="28"/>
          <w:lang w:val="ru-RU"/>
        </w:rPr>
        <w:t xml:space="preserve">в соответствии с Положени</w:t>
      </w:r>
      <w:r>
        <w:rPr>
          <w:b/>
          <w:sz w:val="28"/>
          <w:szCs w:val="28"/>
          <w:lang w:val="ru-RU"/>
        </w:rPr>
        <w:t xml:space="preserve">ем</w:t>
      </w:r>
      <w:r>
        <w:rPr>
          <w:b/>
          <w:sz w:val="28"/>
          <w:szCs w:val="28"/>
          <w:lang w:val="ru-RU"/>
        </w:rPr>
        <w:t xml:space="preserve"> о порядке реализации пра</w:t>
      </w:r>
      <w:r>
        <w:rPr>
          <w:b/>
          <w:sz w:val="28"/>
          <w:szCs w:val="28"/>
          <w:lang w:val="ru-RU"/>
        </w:rPr>
        <w:t xml:space="preserve">в инвалидов и семей, имеющих в своем составе инвалидов, </w:t>
        <w:br/>
        <w:t xml:space="preserve">состоящих на учете в качестве нуждающихся в улучшении жилищных условий, на первоочередное получение </w:t>
        <w:br/>
        <w:t xml:space="preserve">земельных участков для индивидуального жилищн</w:t>
      </w:r>
      <w:r>
        <w:rPr>
          <w:b/>
          <w:bCs/>
          <w:sz w:val="28"/>
          <w:szCs w:val="28"/>
          <w:lang w:val="ru-RU"/>
        </w:rPr>
        <w:t xml:space="preserve">ого строительства, ведения садоводства на территории </w:t>
      </w:r>
      <w:r>
        <w:rPr>
          <w:b/>
          <w:bCs/>
          <w:sz w:val="28"/>
          <w:szCs w:val="28"/>
          <w:lang w:val="ru-RU"/>
        </w:rPr>
        <w:br w:type="textWrapping" w:clear="all"/>
      </w:r>
      <w:r>
        <w:rPr>
          <w:b/>
          <w:bCs/>
          <w:sz w:val="28"/>
          <w:szCs w:val="28"/>
          <w:lang w:val="ru-RU"/>
        </w:rPr>
        <w:t xml:space="preserve">города Перми, утвержденным постановлением администрации города Перми от 26.12.2022 № 1371</w:t>
      </w:r>
      <w:r>
        <w:rPr>
          <w:b/>
          <w:bCs/>
          <w:sz w:val="28"/>
          <w:szCs w:val="28"/>
          <w:lang w:val="ru-RU"/>
        </w:rPr>
        <w:t xml:space="preserve">,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br w:type="textWrapping" w:clear="all"/>
      </w:r>
      <w:r>
        <w:rPr>
          <w:b/>
          <w:bCs/>
          <w:sz w:val="28"/>
          <w:szCs w:val="28"/>
          <w:lang w:val="ru-RU"/>
        </w:rPr>
        <w:t xml:space="preserve">информирует </w:t>
      </w:r>
      <w:r>
        <w:rPr>
          <w:b/>
          <w:bCs/>
          <w:sz w:val="28"/>
          <w:szCs w:val="28"/>
          <w:lang w:val="ru-RU"/>
        </w:rPr>
        <w:t xml:space="preserve">о </w:t>
      </w:r>
      <w:r>
        <w:rPr>
          <w:b/>
          <w:bCs/>
          <w:sz w:val="28"/>
          <w:szCs w:val="28"/>
          <w:lang w:val="ru-RU"/>
        </w:rPr>
        <w:t xml:space="preserve">результатах проведения жеребьевки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  <w14:ligatures w14:val="none"/>
        </w:rPr>
      </w:r>
    </w:p>
    <w:p>
      <w:pPr>
        <w:pStyle w:val="855"/>
        <w:jc w:val="lef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855"/>
        <w:ind w:right="-145" w:firstLine="709"/>
        <w:jc w:val="both"/>
        <w:rPr>
          <w:rFonts w:eastAsia="Calibri"/>
          <w:b w:val="0"/>
          <w:bCs w:val="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Процедура </w:t>
      </w:r>
      <w:r>
        <w:rPr>
          <w:rFonts w:eastAsia="Calibri"/>
          <w:sz w:val="28"/>
          <w:szCs w:val="28"/>
          <w:lang w:eastAsia="en-US"/>
        </w:rPr>
        <w:t xml:space="preserve">распределения </w:t>
      </w:r>
      <w:r>
        <w:rPr>
          <w:rFonts w:eastAsia="Calibri"/>
          <w:bCs/>
          <w:sz w:val="28"/>
          <w:szCs w:val="28"/>
          <w:lang w:eastAsia="en-US"/>
        </w:rPr>
        <w:t xml:space="preserve">земельных участков</w:t>
      </w:r>
      <w:r>
        <w:rPr>
          <w:rFonts w:eastAsia="Calibri"/>
          <w:bCs/>
          <w:sz w:val="28"/>
          <w:szCs w:val="28"/>
          <w:lang w:eastAsia="en-US"/>
        </w:rPr>
        <w:t xml:space="preserve">, включенных в Перечень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земельных участков, предназначенных </w:t>
        <w:br w:type="textWrapping" w:clear="all"/>
        <w:t xml:space="preserve">для предоставления инвалидам и семьям, имеющим в своем составе инвалидов, состоящих на учете в качестве нуждающихся </w:t>
        <w:br w:type="textWrapping" w:clear="all"/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улучшении жилищных условий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,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утвержденный постановлением адм</w:t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t xml:space="preserve">инистрации города Перми от </w:t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t xml:space="preserve">06.03.2025 </w:t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t xml:space="preserve">№ </w:t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t xml:space="preserve">137</w:t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t xml:space="preserve"> </w:t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br/>
      </w:r>
      <w:r>
        <w:rPr>
          <w:rFonts w:eastAsia="Calibri"/>
          <w:b w:val="0"/>
          <w:bCs w:val="0"/>
          <w:sz w:val="28"/>
          <w:szCs w:val="28"/>
          <w:highlight w:val="none"/>
          <w:lang w:eastAsia="en-US"/>
        </w:rPr>
        <w:t xml:space="preserve">(в ред. от 28.05.2026 № 322),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между заявителями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состоялась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05 августа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202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6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г. в 11.30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часов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по адресу: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г. Пермь, </w:t>
        <w:br/>
        <w:t xml:space="preserve">ул. Сибирская, 15, каб. 203 (департамент земельных отношений администрации города Перми)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методом случайной выборки (жеребьевки).</w:t>
      </w:r>
      <w:r>
        <w:rPr>
          <w:rFonts w:eastAsia="Calibri"/>
          <w:b w:val="0"/>
          <w:bCs w:val="0"/>
          <w:sz w:val="28"/>
          <w:szCs w:val="28"/>
        </w:rPr>
      </w:r>
      <w:r>
        <w:rPr>
          <w:rFonts w:eastAsia="Calibri"/>
          <w:b w:val="0"/>
          <w:bCs w:val="0"/>
          <w:sz w:val="28"/>
          <w:szCs w:val="28"/>
        </w:rPr>
      </w:r>
    </w:p>
    <w:p>
      <w:pPr>
        <w:pStyle w:val="875"/>
        <w:ind w:right="0"/>
        <w:jc w:val="center"/>
        <w:spacing w:after="0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right="-145" w:firstLine="709"/>
        <w:jc w:val="center"/>
        <w:rPr>
          <w:rFonts w:eastAsia="Calibri"/>
          <w:bCs/>
          <w:sz w:val="28"/>
          <w:szCs w:val="28"/>
          <w:lang w:eastAsia="en-US"/>
          <w14:ligatures w14:val="none"/>
        </w:rPr>
      </w:pPr>
      <w:r>
        <w:rPr>
          <w:rFonts w:eastAsia="Calibri"/>
          <w:sz w:val="28"/>
          <w:szCs w:val="28"/>
          <w:lang w:eastAsia="en-US"/>
        </w:rPr>
        <w:t xml:space="preserve">Сведения о порядковых номерах заявителей в реестре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 xml:space="preserve">учета инвалидов и семей,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right="-145" w:firstLine="709"/>
        <w:jc w:val="center"/>
        <w:rPr>
          <w:rFonts w:eastAsia="Calibri"/>
          <w:b w:val="0"/>
          <w:bCs w:val="0"/>
          <w:lang w:eastAsia="en-US"/>
          <w14:ligatures w14:val="none"/>
        </w:rPr>
      </w:pPr>
      <w:r>
        <w:rPr>
          <w:rFonts w:eastAsia="Calibri"/>
          <w:sz w:val="28"/>
          <w:szCs w:val="28"/>
          <w:lang w:val="ru-RU" w:eastAsia="en-US"/>
        </w:rPr>
        <w:t xml:space="preserve">имеющих в своем составе инвалидов, состоящих на учете в качестве нуждающихся в улучшении жилищных условий (далее – Реестр),</w:t>
      </w:r>
      <w:r>
        <w:rPr>
          <w:rFonts w:eastAsia="Calibri"/>
          <w:sz w:val="28"/>
          <w:szCs w:val="28"/>
          <w:lang w:eastAsia="en-US"/>
        </w:rPr>
        <w:t xml:space="preserve"> и номерах распределенных земельных участков в соответствии с Перечнем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75"/>
        <w:ind w:left="-142" w:right="0"/>
        <w:jc w:val="center"/>
        <w:spacing w:after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</w:p>
    <w:tbl>
      <w:tblPr>
        <w:tblW w:w="156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44"/>
        <w:gridCol w:w="93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44" w:type="dxa"/>
            <w:vAlign w:val="top"/>
            <w:textDirection w:val="lrTb"/>
            <w:noWrap w:val="false"/>
          </w:tcPr>
          <w:p>
            <w:pPr>
              <w:pStyle w:val="875"/>
              <w:ind w:right="0"/>
              <w:jc w:val="center"/>
              <w:spacing w:after="0"/>
              <w:rPr>
                <w:sz w:val="36"/>
                <w:szCs w:val="36"/>
                <w:lang w:val="ru-RU"/>
                <w14:ligatures w14:val="none"/>
              </w:rPr>
            </w:pPr>
            <w:r>
              <w:rPr>
                <w:sz w:val="28"/>
                <w:szCs w:val="28"/>
                <w:lang w:val="ru-RU"/>
              </w:rPr>
              <w:t xml:space="preserve">Порядковый номер заявителя</w:t>
            </w:r>
            <w:r>
              <w:rPr>
                <w:sz w:val="28"/>
                <w:szCs w:val="28"/>
                <w:lang w:val="ru-RU"/>
              </w:rPr>
              <w:t xml:space="preserve"> в Реестре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36"/>
                <w:szCs w:val="36"/>
                <w:lang w:val="ru-RU"/>
                <w14:ligatures w14:val="none"/>
              </w:rPr>
            </w:r>
          </w:p>
        </w:tc>
        <w:tc>
          <w:tcPr>
            <w:tcW w:w="9320" w:type="dxa"/>
            <w:vAlign w:val="top"/>
            <w:textDirection w:val="lrTb"/>
            <w:noWrap w:val="false"/>
          </w:tcPr>
          <w:p>
            <w:pPr>
              <w:pStyle w:val="875"/>
              <w:ind w:right="0"/>
              <w:jc w:val="center"/>
              <w:spacing w:after="0"/>
              <w:rPr>
                <w:sz w:val="36"/>
                <w:szCs w:val="36"/>
                <w:lang w:val="ru-RU"/>
                <w14:ligatures w14:val="none"/>
              </w:rPr>
            </w:pPr>
            <w:r>
              <w:rPr>
                <w:sz w:val="28"/>
                <w:szCs w:val="28"/>
                <w:lang w:val="ru-RU"/>
              </w:rPr>
              <w:t xml:space="preserve">Номер распределенного земельного участка в соответствии с Перечнем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32"/>
                <w:szCs w:val="32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/>
        </w:trPr>
        <w:tc>
          <w:tcPr>
            <w:tcW w:w="6344" w:type="dxa"/>
            <w:vAlign w:val="top"/>
            <w:textDirection w:val="lrTb"/>
            <w:noWrap w:val="false"/>
          </w:tcPr>
          <w:p>
            <w:pPr>
              <w:pStyle w:val="875"/>
              <w:ind w:right="0"/>
              <w:jc w:val="center"/>
              <w:spacing w:after="0"/>
              <w:rPr>
                <w:sz w:val="36"/>
                <w:szCs w:val="36"/>
                <w:lang w:val="ru-RU"/>
                <w14:ligatures w14:val="none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36"/>
                <w:szCs w:val="36"/>
                <w:lang w:val="ru-RU"/>
                <w14:ligatures w14:val="none"/>
              </w:rPr>
            </w:r>
          </w:p>
        </w:tc>
        <w:tc>
          <w:tcPr>
            <w:tcW w:w="9320" w:type="dxa"/>
            <w:vAlign w:val="top"/>
            <w:textDirection w:val="lrTb"/>
            <w:noWrap w:val="false"/>
          </w:tcPr>
          <w:p>
            <w:pPr>
              <w:pStyle w:val="875"/>
              <w:ind w:right="0"/>
              <w:jc w:val="center"/>
              <w:spacing w:after="0"/>
              <w:rPr>
                <w:sz w:val="36"/>
                <w:szCs w:val="36"/>
                <w:lang w:val="ru-RU"/>
                <w14:ligatures w14:val="none"/>
              </w:rPr>
            </w:pPr>
            <w:r>
              <w:rPr>
                <w:sz w:val="28"/>
                <w:szCs w:val="28"/>
                <w:lang w:val="ru-RU"/>
              </w:rPr>
              <w:t xml:space="preserve">7</w:t>
            </w:r>
            <w:r>
              <w:rPr>
                <w:sz w:val="36"/>
                <w:szCs w:val="36"/>
                <w:lang w:val="ru-RU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44" w:type="dxa"/>
            <w:vAlign w:val="top"/>
            <w:textDirection w:val="lrTb"/>
            <w:noWrap w:val="false"/>
          </w:tcPr>
          <w:p>
            <w:pPr>
              <w:pStyle w:val="875"/>
              <w:ind w:right="0"/>
              <w:jc w:val="center"/>
              <w:spacing w:after="0"/>
              <w:rPr>
                <w:sz w:val="36"/>
                <w:szCs w:val="36"/>
                <w:lang w:val="ru-RU"/>
                <w14:ligatures w14:val="none"/>
              </w:rPr>
            </w:pPr>
            <w:r>
              <w:rPr>
                <w:sz w:val="28"/>
                <w:szCs w:val="28"/>
                <w:lang w:val="ru-RU"/>
              </w:rPr>
              <w:t xml:space="preserve">7</w:t>
            </w:r>
            <w:r>
              <w:rPr>
                <w:sz w:val="36"/>
                <w:szCs w:val="36"/>
                <w:lang w:val="ru-RU"/>
                <w14:ligatures w14:val="none"/>
              </w:rPr>
            </w:r>
          </w:p>
        </w:tc>
        <w:tc>
          <w:tcPr>
            <w:tcW w:w="9320" w:type="dxa"/>
            <w:vAlign w:val="top"/>
            <w:textDirection w:val="lrTb"/>
            <w:noWrap w:val="false"/>
          </w:tcPr>
          <w:p>
            <w:pPr>
              <w:pStyle w:val="875"/>
              <w:ind w:right="0"/>
              <w:jc w:val="center"/>
              <w:spacing w:after="0"/>
              <w:rPr>
                <w:sz w:val="36"/>
                <w:szCs w:val="36"/>
                <w:lang w:val="ru-RU"/>
                <w14:ligatures w14:val="none"/>
              </w:rPr>
            </w:pPr>
            <w:r>
              <w:rPr>
                <w:sz w:val="28"/>
                <w:szCs w:val="28"/>
                <w:lang w:val="ru-RU"/>
              </w:rPr>
              <w:t xml:space="preserve">5</w:t>
            </w:r>
            <w:r>
              <w:rPr>
                <w:sz w:val="36"/>
                <w:szCs w:val="36"/>
                <w:lang w:val="ru-RU"/>
                <w14:ligatures w14:val="none"/>
              </w:rPr>
            </w:r>
          </w:p>
        </w:tc>
      </w:tr>
    </w:tbl>
    <w:p>
      <w:pPr>
        <w:pStyle w:val="875"/>
        <w:ind w:right="0"/>
        <w:jc w:val="left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headerReference w:type="default" r:id="rId9"/>
      <w:footnotePr/>
      <w:endnotePr/>
      <w:type w:val="nextPage"/>
      <w:pgSz w:w="16838" w:h="11906" w:orient="landscape"/>
      <w:pgMar w:top="-568" w:right="539" w:bottom="142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/>
    <w:r/>
  </w:p>
  <w:p>
    <w:pPr>
      <w:pStyle w:val="8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5"/>
    <w:link w:val="867"/>
    <w:uiPriority w:val="9"/>
    <w:qFormat/>
    <w:pPr>
      <w:contextualSpacing/>
      <w:jc w:val="center"/>
      <w:keepNext/>
      <w:outlineLvl w:val="0"/>
    </w:pPr>
    <w:rPr>
      <w:b/>
      <w:sz w:val="28"/>
      <w:szCs w:val="28"/>
      <w:lang w:val="en-US" w:eastAsia="en-US"/>
    </w:rPr>
  </w:style>
  <w:style w:type="paragraph" w:styleId="857">
    <w:name w:val="Заголовок 2"/>
    <w:basedOn w:val="855"/>
    <w:next w:val="855"/>
    <w:link w:val="868"/>
    <w:uiPriority w:val="9"/>
    <w:unhideWhenUsed/>
    <w:qFormat/>
    <w:pPr>
      <w:contextualSpacing/>
      <w:jc w:val="center"/>
      <w:keepNext/>
      <w:outlineLvl w:val="1"/>
    </w:pPr>
    <w:rPr>
      <w:sz w:val="28"/>
      <w:szCs w:val="28"/>
      <w:lang w:val="en-US" w:eastAsia="en-US"/>
    </w:rPr>
  </w:style>
  <w:style w:type="character" w:styleId="858">
    <w:name w:val="Основной шрифт абзаца"/>
    <w:next w:val="858"/>
    <w:link w:val="855"/>
    <w:uiPriority w:val="1"/>
    <w:unhideWhenUsed/>
  </w:style>
  <w:style w:type="table" w:styleId="859">
    <w:name w:val="Обычная таблица"/>
    <w:next w:val="859"/>
    <w:link w:val="855"/>
    <w:uiPriority w:val="99"/>
    <w:semiHidden/>
    <w:unhideWhenUsed/>
    <w:qFormat/>
    <w:tblPr/>
  </w:style>
  <w:style w:type="numbering" w:styleId="860">
    <w:name w:val="Нет списка"/>
    <w:next w:val="860"/>
    <w:link w:val="855"/>
    <w:uiPriority w:val="99"/>
    <w:semiHidden/>
    <w:unhideWhenUsed/>
  </w:style>
  <w:style w:type="paragraph" w:styleId="861">
    <w:name w:val="Название"/>
    <w:basedOn w:val="855"/>
    <w:next w:val="861"/>
    <w:link w:val="862"/>
    <w:qFormat/>
    <w:pPr>
      <w:jc w:val="center"/>
    </w:pPr>
    <w:rPr>
      <w:szCs w:val="20"/>
      <w:lang w:val="en-US" w:eastAsia="en-US"/>
    </w:rPr>
  </w:style>
  <w:style w:type="character" w:styleId="862">
    <w:name w:val="Название Знак"/>
    <w:next w:val="862"/>
    <w:link w:val="861"/>
    <w:rPr>
      <w:rFonts w:ascii="Times New Roman" w:hAnsi="Times New Roman" w:eastAsia="Times New Roman" w:cs="Times New Roman"/>
      <w:sz w:val="24"/>
      <w:szCs w:val="20"/>
    </w:rPr>
  </w:style>
  <w:style w:type="paragraph" w:styleId="863">
    <w:name w:val="Основной текст с отступом 3"/>
    <w:basedOn w:val="855"/>
    <w:next w:val="863"/>
    <w:link w:val="864"/>
    <w:pPr>
      <w:ind w:firstLine="900"/>
      <w:jc w:val="both"/>
    </w:pPr>
    <w:rPr>
      <w:lang w:val="en-US" w:eastAsia="en-US"/>
    </w:rPr>
  </w:style>
  <w:style w:type="character" w:styleId="864">
    <w:name w:val="Основной текст с отступом 3 Знак"/>
    <w:next w:val="864"/>
    <w:link w:val="863"/>
    <w:rPr>
      <w:rFonts w:ascii="Times New Roman" w:hAnsi="Times New Roman" w:eastAsia="Times New Roman" w:cs="Times New Roman"/>
      <w:sz w:val="24"/>
      <w:szCs w:val="24"/>
    </w:rPr>
  </w:style>
  <w:style w:type="paragraph" w:styleId="865">
    <w:name w:val="Текст выноски"/>
    <w:basedOn w:val="855"/>
    <w:next w:val="865"/>
    <w:link w:val="86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6">
    <w:name w:val="Текст выноски Знак"/>
    <w:next w:val="866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Заголовок 1 Знак"/>
    <w:next w:val="867"/>
    <w:link w:val="856"/>
    <w:uiPriority w:val="9"/>
    <w:rPr>
      <w:rFonts w:ascii="Times New Roman" w:hAnsi="Times New Roman" w:cs="Times New Roman"/>
      <w:b/>
      <w:sz w:val="28"/>
      <w:szCs w:val="28"/>
    </w:rPr>
  </w:style>
  <w:style w:type="character" w:styleId="868">
    <w:name w:val="Заголовок 2 Знак"/>
    <w:next w:val="868"/>
    <w:link w:val="857"/>
    <w:uiPriority w:val="9"/>
    <w:rPr>
      <w:rFonts w:ascii="Times New Roman" w:hAnsi="Times New Roman" w:cs="Times New Roman"/>
      <w:sz w:val="28"/>
      <w:szCs w:val="28"/>
    </w:rPr>
  </w:style>
  <w:style w:type="paragraph" w:styleId="869">
    <w:name w:val="Абзац списка"/>
    <w:basedOn w:val="855"/>
    <w:next w:val="869"/>
    <w:link w:val="855"/>
    <w:uiPriority w:val="34"/>
    <w:qFormat/>
    <w:pPr>
      <w:contextualSpacing/>
      <w:ind w:left="720"/>
    </w:pPr>
  </w:style>
  <w:style w:type="character" w:styleId="870">
    <w:name w:val="Гиперссылка"/>
    <w:next w:val="870"/>
    <w:link w:val="855"/>
    <w:uiPriority w:val="99"/>
    <w:unhideWhenUsed/>
    <w:rPr>
      <w:color w:val="0000ff"/>
      <w:u w:val="single"/>
    </w:rPr>
  </w:style>
  <w:style w:type="paragraph" w:styleId="871">
    <w:name w:val="Верхний колонтитул"/>
    <w:basedOn w:val="855"/>
    <w:next w:val="871"/>
    <w:link w:val="872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2">
    <w:name w:val="Верхний колонтитул Знак"/>
    <w:next w:val="872"/>
    <w:link w:val="871"/>
    <w:uiPriority w:val="99"/>
    <w:rPr>
      <w:rFonts w:ascii="Times New Roman" w:hAnsi="Times New Roman" w:cs="Times New Roman"/>
      <w:sz w:val="24"/>
      <w:szCs w:val="24"/>
    </w:rPr>
  </w:style>
  <w:style w:type="paragraph" w:styleId="873">
    <w:name w:val="Нижний колонтитул"/>
    <w:basedOn w:val="855"/>
    <w:next w:val="873"/>
    <w:link w:val="874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Нижний колонтитул Знак"/>
    <w:next w:val="874"/>
    <w:link w:val="87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75">
    <w:name w:val="Основной текст"/>
    <w:basedOn w:val="855"/>
    <w:next w:val="875"/>
    <w:link w:val="876"/>
    <w:uiPriority w:val="99"/>
    <w:unhideWhenUsed/>
    <w:pPr>
      <w:spacing w:after="120"/>
    </w:pPr>
    <w:rPr>
      <w:lang w:val="en-US" w:eastAsia="en-US"/>
    </w:rPr>
  </w:style>
  <w:style w:type="character" w:styleId="876">
    <w:name w:val="Основной текст Знак"/>
    <w:next w:val="876"/>
    <w:link w:val="875"/>
    <w:uiPriority w:val="99"/>
    <w:rPr>
      <w:rFonts w:ascii="Times New Roman" w:hAnsi="Times New Roman" w:cs="Times New Roman"/>
      <w:sz w:val="24"/>
      <w:szCs w:val="24"/>
    </w:rPr>
  </w:style>
  <w:style w:type="paragraph" w:styleId="877">
    <w:name w:val="Без интервала"/>
    <w:next w:val="877"/>
    <w:link w:val="855"/>
    <w:uiPriority w:val="1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878">
    <w:name w:val="Просмотренная гиперссылка"/>
    <w:next w:val="878"/>
    <w:link w:val="855"/>
    <w:uiPriority w:val="99"/>
    <w:semiHidden/>
    <w:unhideWhenUsed/>
    <w:rPr>
      <w:color w:val="800080"/>
      <w:u w:val="single"/>
    </w:rPr>
  </w:style>
  <w:style w:type="character" w:styleId="879">
    <w:name w:val="blk"/>
    <w:basedOn w:val="858"/>
    <w:next w:val="879"/>
    <w:link w:val="855"/>
  </w:style>
  <w:style w:type="table" w:styleId="880">
    <w:name w:val="Сетка таблицы"/>
    <w:basedOn w:val="859"/>
    <w:next w:val="880"/>
    <w:link w:val="855"/>
    <w:uiPriority w:val="59"/>
    <w:tblPr/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revision>122</cp:revision>
  <dcterms:created xsi:type="dcterms:W3CDTF">2019-10-23T12:14:00Z</dcterms:created>
  <dcterms:modified xsi:type="dcterms:W3CDTF">2026-08-05T07:24:15Z</dcterms:modified>
  <cp:version>917504</cp:version>
</cp:coreProperties>
</file>