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313" w:rsidRDefault="00170313">
      <w:pPr>
        <w:pStyle w:val="ConsPlusNormal"/>
        <w:jc w:val="both"/>
      </w:pPr>
    </w:p>
    <w:p w:rsidR="00170313" w:rsidRDefault="00170313">
      <w:pPr>
        <w:pStyle w:val="ConsPlusNormal"/>
        <w:jc w:val="right"/>
      </w:pPr>
    </w:p>
    <w:p w:rsidR="00170313" w:rsidRDefault="00170313">
      <w:pPr>
        <w:pStyle w:val="ConsPlusNormal"/>
        <w:jc w:val="both"/>
      </w:pPr>
    </w:p>
    <w:p w:rsidR="00170313" w:rsidRDefault="008F64ED">
      <w:pPr>
        <w:pStyle w:val="ConsPlusNormal"/>
        <w:jc w:val="center"/>
        <w:rPr>
          <w:szCs w:val="24"/>
        </w:rPr>
      </w:pPr>
      <w:bookmarkStart w:id="0" w:name="P350"/>
      <w:bookmarkEnd w:id="0"/>
      <w:r>
        <w:rPr>
          <w:szCs w:val="24"/>
        </w:rPr>
        <w:t>Инициативный проект</w:t>
      </w:r>
    </w:p>
    <w:p w:rsidR="00170313" w:rsidRDefault="00170313">
      <w:pPr>
        <w:pStyle w:val="ConsPlusNormal"/>
        <w:jc w:val="both"/>
        <w:rPr>
          <w:szCs w:val="24"/>
        </w:rPr>
      </w:pPr>
    </w:p>
    <w:p w:rsidR="00170313" w:rsidRDefault="008F64ED">
      <w:pPr>
        <w:pStyle w:val="ConsPlusNormal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Наименование инициативного проекта:</w:t>
      </w:r>
    </w:p>
    <w:p w:rsidR="00170313" w:rsidRDefault="008F64ED">
      <w:pPr>
        <w:pStyle w:val="ConsPlusNormal"/>
        <w:spacing w:before="240"/>
        <w:jc w:val="both"/>
        <w:rPr>
          <w:szCs w:val="24"/>
        </w:rPr>
      </w:pPr>
      <w:r>
        <w:rPr>
          <w:szCs w:val="24"/>
        </w:rPr>
        <w:t>«Техническое оснащение стадиона для проведения культурно-массовых мероприятий для жителей микрорайона «Новобродовский»</w:t>
      </w:r>
    </w:p>
    <w:p w:rsidR="00170313" w:rsidRDefault="00170313">
      <w:pPr>
        <w:pStyle w:val="ConsPlusNormal"/>
        <w:jc w:val="both"/>
        <w:rPr>
          <w:szCs w:val="24"/>
        </w:rPr>
      </w:pPr>
    </w:p>
    <w:p w:rsidR="00170313" w:rsidRDefault="008F64ED">
      <w:pPr>
        <w:pStyle w:val="ConsPlusNormal"/>
        <w:jc w:val="both"/>
        <w:rPr>
          <w:szCs w:val="24"/>
        </w:rPr>
      </w:pPr>
      <w:r>
        <w:rPr>
          <w:szCs w:val="24"/>
        </w:rPr>
        <w:t>2. Сведения о видах источников софинансирования инициативного проекта:</w:t>
      </w:r>
    </w:p>
    <w:p w:rsidR="00170313" w:rsidRDefault="00170313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2154"/>
        <w:gridCol w:w="3061"/>
      </w:tblGrid>
      <w:tr w:rsidR="00170313">
        <w:tc>
          <w:tcPr>
            <w:tcW w:w="624" w:type="dxa"/>
          </w:tcPr>
          <w:p w:rsidR="00170313" w:rsidRDefault="008F64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231" w:type="dxa"/>
          </w:tcPr>
          <w:p w:rsidR="00170313" w:rsidRDefault="008F64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источника финансирования</w:t>
            </w:r>
          </w:p>
        </w:tc>
        <w:tc>
          <w:tcPr>
            <w:tcW w:w="2154" w:type="dxa"/>
          </w:tcPr>
          <w:p w:rsidR="00170313" w:rsidRDefault="008F64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Софинансирование инициативного проекта, руб. (буквенное обозначение переменной в формуле)</w:t>
            </w:r>
          </w:p>
        </w:tc>
        <w:tc>
          <w:tcPr>
            <w:tcW w:w="3061" w:type="dxa"/>
          </w:tcPr>
          <w:p w:rsidR="00170313" w:rsidRDefault="008F64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Формула расчета, %</w:t>
            </w:r>
          </w:p>
        </w:tc>
      </w:tr>
      <w:tr w:rsidR="00170313">
        <w:tc>
          <w:tcPr>
            <w:tcW w:w="624" w:type="dxa"/>
          </w:tcPr>
          <w:p w:rsidR="00170313" w:rsidRDefault="008F64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31" w:type="dxa"/>
          </w:tcPr>
          <w:p w:rsidR="00170313" w:rsidRDefault="008F64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4" w:type="dxa"/>
          </w:tcPr>
          <w:p w:rsidR="00170313" w:rsidRDefault="008F64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061" w:type="dxa"/>
          </w:tcPr>
          <w:p w:rsidR="00170313" w:rsidRDefault="008F64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170313">
        <w:tc>
          <w:tcPr>
            <w:tcW w:w="624" w:type="dxa"/>
          </w:tcPr>
          <w:p w:rsidR="00170313" w:rsidRDefault="008F64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31" w:type="dxa"/>
          </w:tcPr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</w:p>
        </w:tc>
        <w:tc>
          <w:tcPr>
            <w:tcW w:w="2154" w:type="dxa"/>
          </w:tcPr>
          <w:p w:rsidR="00170313" w:rsidRDefault="001703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 w:val="24"/>
                <w:szCs w:val="24"/>
                <w:vertAlign w:val="subscript"/>
              </w:rPr>
            </w:pPr>
          </w:p>
          <w:p w:rsidR="00170313" w:rsidRDefault="001703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color w:val="000000"/>
                <w:sz w:val="24"/>
                <w:szCs w:val="24"/>
                <w:vertAlign w:val="subscript"/>
              </w:rPr>
            </w:pPr>
          </w:p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color w:val="000000"/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870 000,00</w:t>
            </w:r>
          </w:p>
        </w:tc>
        <w:tc>
          <w:tcPr>
            <w:tcW w:w="3061" w:type="dxa"/>
          </w:tcPr>
          <w:p w:rsidR="00170313" w:rsidRDefault="008F64ED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33,27</w:t>
            </w:r>
          </w:p>
          <w:p w:rsidR="00170313" w:rsidRDefault="00170313">
            <w:pPr>
              <w:rPr>
                <w:sz w:val="24"/>
                <w:szCs w:val="24"/>
              </w:rPr>
            </w:pPr>
          </w:p>
        </w:tc>
      </w:tr>
      <w:tr w:rsidR="00170313">
        <w:tc>
          <w:tcPr>
            <w:tcW w:w="624" w:type="dxa"/>
          </w:tcPr>
          <w:p w:rsidR="00170313" w:rsidRDefault="008F64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3231" w:type="dxa"/>
          </w:tcPr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финансовое, имущественное </w:t>
            </w:r>
          </w:p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 (или) трудовое участие граждан </w:t>
            </w:r>
          </w:p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денежном эквиваленте</w:t>
            </w:r>
          </w:p>
        </w:tc>
        <w:tc>
          <w:tcPr>
            <w:tcW w:w="2154" w:type="dxa"/>
          </w:tcPr>
          <w:p w:rsidR="00170313" w:rsidRDefault="001703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3061" w:type="dxa"/>
          </w:tcPr>
          <w:p w:rsidR="00170313" w:rsidRDefault="001703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4"/>
                <w:szCs w:val="24"/>
              </w:rPr>
            </w:pPr>
          </w:p>
        </w:tc>
      </w:tr>
      <w:tr w:rsidR="00170313">
        <w:tc>
          <w:tcPr>
            <w:tcW w:w="624" w:type="dxa"/>
          </w:tcPr>
          <w:p w:rsidR="00170313" w:rsidRDefault="008F64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3231" w:type="dxa"/>
          </w:tcPr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финансовое, имущественное </w:t>
            </w:r>
          </w:p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 (или) трудовое участие индивидуальных предпринимателей и образованных </w:t>
            </w:r>
          </w:p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соответствии </w:t>
            </w:r>
          </w:p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законодательством Российской Федерации юридических лиц </w:t>
            </w:r>
          </w:p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денежном эквиваленте</w:t>
            </w:r>
          </w:p>
        </w:tc>
        <w:tc>
          <w:tcPr>
            <w:tcW w:w="2154" w:type="dxa"/>
          </w:tcPr>
          <w:p w:rsidR="00170313" w:rsidRDefault="001703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 w:val="24"/>
                <w:szCs w:val="24"/>
                <w:vertAlign w:val="subscript"/>
              </w:rPr>
            </w:pPr>
          </w:p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color w:val="000000"/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870 000,00</w:t>
            </w:r>
          </w:p>
        </w:tc>
        <w:tc>
          <w:tcPr>
            <w:tcW w:w="3061" w:type="dxa"/>
          </w:tcPr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170313">
        <w:tc>
          <w:tcPr>
            <w:tcW w:w="624" w:type="dxa"/>
          </w:tcPr>
          <w:p w:rsidR="00170313" w:rsidRDefault="008F64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31" w:type="dxa"/>
          </w:tcPr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софинансирования инициативного проекта из бюджета города Перми</w:t>
            </w:r>
          </w:p>
        </w:tc>
        <w:tc>
          <w:tcPr>
            <w:tcW w:w="2154" w:type="dxa"/>
          </w:tcPr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1 745 110,00</w:t>
            </w:r>
          </w:p>
          <w:p w:rsidR="00170313" w:rsidRDefault="001703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66, 73</w:t>
            </w:r>
          </w:p>
        </w:tc>
      </w:tr>
      <w:tr w:rsidR="00170313">
        <w:tc>
          <w:tcPr>
            <w:tcW w:w="624" w:type="dxa"/>
          </w:tcPr>
          <w:p w:rsidR="00170313" w:rsidRDefault="008F64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3231" w:type="dxa"/>
          </w:tcPr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(общая стоимость инициативного проекта)</w:t>
            </w:r>
          </w:p>
        </w:tc>
        <w:tc>
          <w:tcPr>
            <w:tcW w:w="2154" w:type="dxa"/>
          </w:tcPr>
          <w:p w:rsidR="00170313" w:rsidRDefault="001703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333333"/>
                <w:sz w:val="24"/>
                <w:szCs w:val="24"/>
                <w:highlight w:val="white"/>
              </w:rPr>
            </w:pPr>
          </w:p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2 615 110,00</w:t>
            </w:r>
          </w:p>
        </w:tc>
        <w:tc>
          <w:tcPr>
            <w:tcW w:w="3061" w:type="dxa"/>
          </w:tcPr>
          <w:p w:rsidR="00170313" w:rsidRDefault="001703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4"/>
                <w:szCs w:val="24"/>
                <w:vertAlign w:val="subscript"/>
              </w:rPr>
            </w:pPr>
          </w:p>
          <w:p w:rsidR="00170313" w:rsidRDefault="001703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tLeast"/>
              <w:rPr>
                <w:sz w:val="24"/>
                <w:szCs w:val="24"/>
              </w:rPr>
            </w:pPr>
          </w:p>
        </w:tc>
      </w:tr>
    </w:tbl>
    <w:p w:rsidR="00170313" w:rsidRDefault="00170313">
      <w:pPr>
        <w:pStyle w:val="ConsPlusNormal"/>
        <w:jc w:val="both"/>
        <w:rPr>
          <w:szCs w:val="24"/>
        </w:rPr>
      </w:pPr>
    </w:p>
    <w:tbl>
      <w:tblPr>
        <w:tblW w:w="104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0"/>
        <w:gridCol w:w="7921"/>
      </w:tblGrid>
      <w:tr w:rsidR="00170313">
        <w:tc>
          <w:tcPr>
            <w:tcW w:w="104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0313" w:rsidRDefault="008F64ED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3. Сведения об инициаторе инициативного проекта (необходимо выбрать только один из предложенных вариантов):</w:t>
            </w:r>
          </w:p>
          <w:p w:rsidR="00170313" w:rsidRDefault="008F64ED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noProof/>
                <w:position w:val="-3"/>
                <w:szCs w:val="24"/>
              </w:rPr>
              <w:drawing>
                <wp:inline distT="0" distB="0" distL="0" distR="0">
                  <wp:extent cx="148590" cy="1943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Консультант Плюс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</w:rPr>
              <w:t xml:space="preserve"> инициативная группа граждан;</w:t>
            </w:r>
          </w:p>
          <w:p w:rsidR="00170313" w:rsidRDefault="008F64ED" w:rsidP="00765A5D">
            <w:pPr>
              <w:pStyle w:val="ConsPlusNormal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территориальное общественное самоуправление (далее – ТОС)</w:t>
            </w:r>
          </w:p>
          <w:p w:rsidR="00170313" w:rsidRDefault="008F64ED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Местная общественная организация «Территориальное общественное самоуправление «Новобродовский» Свердловского района г. Перми</w:t>
            </w:r>
          </w:p>
          <w:p w:rsidR="00170313" w:rsidRDefault="00170313">
            <w:pPr>
              <w:pStyle w:val="ConsPlusNormal"/>
              <w:jc w:val="both"/>
              <w:rPr>
                <w:szCs w:val="24"/>
              </w:rPr>
            </w:pPr>
          </w:p>
          <w:p w:rsidR="00170313" w:rsidRDefault="008F64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(наименование ТОС)</w:t>
            </w:r>
          </w:p>
          <w:p w:rsidR="00170313" w:rsidRDefault="00170313">
            <w:pPr>
              <w:pStyle w:val="ConsPlusNormal"/>
              <w:rPr>
                <w:szCs w:val="24"/>
              </w:rPr>
            </w:pPr>
          </w:p>
          <w:p w:rsidR="00170313" w:rsidRDefault="008F64ED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4. Территория города Перми или его часть, в границах которой будет реализация инициативного проекта:</w:t>
            </w:r>
          </w:p>
          <w:p w:rsidR="00170313" w:rsidRDefault="008F64ED">
            <w:pPr>
              <w:widowControl w:val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МОО ТОС "Новобродовский", микрорайон Новобродовский, Свердловского района г. Перми</w:t>
            </w:r>
          </w:p>
          <w:p w:rsidR="00170313" w:rsidRDefault="00170313">
            <w:pPr>
              <w:pStyle w:val="ConsPlusNormal"/>
              <w:rPr>
                <w:szCs w:val="24"/>
              </w:rPr>
            </w:pPr>
          </w:p>
          <w:p w:rsidR="00170313" w:rsidRDefault="008F64ED">
            <w:pPr>
              <w:pStyle w:val="ConsPlusNormal"/>
              <w:ind w:firstLine="283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5. Сроки реализации инициативного проекта: </w:t>
            </w:r>
            <w:r>
              <w:rPr>
                <w:b/>
                <w:szCs w:val="24"/>
              </w:rPr>
              <w:t xml:space="preserve">до </w:t>
            </w:r>
            <w:r>
              <w:rPr>
                <w:b/>
                <w:szCs w:val="24"/>
              </w:rPr>
              <w:t>15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декабря</w:t>
            </w:r>
            <w:r>
              <w:rPr>
                <w:b/>
                <w:szCs w:val="24"/>
              </w:rPr>
              <w:t xml:space="preserve"> 2026г.</w:t>
            </w:r>
          </w:p>
          <w:p w:rsidR="00170313" w:rsidRDefault="00170313">
            <w:pPr>
              <w:pStyle w:val="ConsPlusNormal"/>
              <w:ind w:firstLine="283"/>
              <w:jc w:val="both"/>
              <w:rPr>
                <w:szCs w:val="24"/>
              </w:rPr>
            </w:pPr>
          </w:p>
          <w:p w:rsidR="00170313" w:rsidRDefault="00170313">
            <w:pPr>
              <w:pStyle w:val="ConsPlusNormal"/>
              <w:rPr>
                <w:szCs w:val="24"/>
              </w:rPr>
            </w:pPr>
          </w:p>
          <w:p w:rsidR="00170313" w:rsidRDefault="008F64ED">
            <w:pPr>
              <w:widowControl w:val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Наименование вопроса местного значения в соответствии с Федеральным законом от 6 октября </w:t>
            </w:r>
            <w:r>
              <w:rPr>
                <w:sz w:val="24"/>
                <w:szCs w:val="24"/>
              </w:rPr>
              <w:t xml:space="preserve">2003 года N 131-ФЗ "Об общих принципах организации местного самоуправления в Российской Федерации" или иного вопроса, право решения которого предоставлено органам местного самоуправления в соответствии с действующим </w:t>
            </w:r>
            <w:proofErr w:type="spellStart"/>
            <w:r>
              <w:rPr>
                <w:sz w:val="24"/>
                <w:szCs w:val="24"/>
              </w:rPr>
              <w:t>законодательством:Федеральным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hyperlink r:id="rId8">
              <w:r>
                <w:rPr>
                  <w:rStyle w:val="a5"/>
                  <w:sz w:val="24"/>
                  <w:szCs w:val="24"/>
                </w:rPr>
                <w:t>законом</w:t>
              </w:r>
            </w:hyperlink>
            <w:r>
              <w:rPr>
                <w:sz w:val="24"/>
                <w:szCs w:val="24"/>
              </w:rPr>
              <w:t xml:space="preserve"> от 6 октября 2003 года N 131-ФЗ "Об общих принципах организации местного самоуправления в Российской Федерации"</w:t>
            </w:r>
          </w:p>
          <w:p w:rsidR="00170313" w:rsidRDefault="008F64ED">
            <w:pPr>
              <w:widowControl w:val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 xml:space="preserve">атья 16. «Вопросы местного значения городского округа»  </w:t>
            </w:r>
          </w:p>
          <w:p w:rsidR="00170313" w:rsidRDefault="008F64ED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19 «</w:t>
            </w:r>
            <w:hyperlink r:id="rId9" w:anchor="dst100038" w:history="1">
              <w:r>
                <w:rPr>
                  <w:rStyle w:val="a5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Обеспечение условий</w:t>
              </w:r>
            </w:hyperlink>
            <w:r>
              <w:rPr>
                <w:color w:val="000000"/>
                <w:sz w:val="24"/>
                <w:szCs w:val="24"/>
                <w:shd w:val="clear" w:color="auto" w:fill="FFFFFF"/>
              </w:rPr>
              <w:t> для развития на территории муниципального, городского округа физической культуры, шк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округа».</w:t>
            </w:r>
          </w:p>
          <w:p w:rsidR="00170313" w:rsidRDefault="008F64ED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_______________________________________________________________________.</w:t>
            </w:r>
          </w:p>
          <w:p w:rsidR="00170313" w:rsidRDefault="00170313">
            <w:pPr>
              <w:pStyle w:val="ConsPlusNormal"/>
              <w:rPr>
                <w:szCs w:val="24"/>
              </w:rPr>
            </w:pPr>
          </w:p>
          <w:p w:rsidR="00170313" w:rsidRDefault="008F64ED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  <w:r>
              <w:rPr>
                <w:b/>
                <w:bCs/>
                <w:szCs w:val="24"/>
              </w:rPr>
              <w:t>Описание инициативн</w:t>
            </w:r>
            <w:r>
              <w:rPr>
                <w:b/>
                <w:bCs/>
                <w:szCs w:val="24"/>
              </w:rPr>
              <w:t>ого проекта:</w:t>
            </w:r>
          </w:p>
          <w:p w:rsidR="00170313" w:rsidRDefault="008F64ED">
            <w:pPr>
              <w:widowControl w:val="0"/>
              <w:ind w:firstLine="708"/>
              <w:jc w:val="both"/>
              <w:rPr>
                <w:rFonts w:eastAsia="system-ui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color w:val="000000"/>
                <w:sz w:val="24"/>
                <w:szCs w:val="24"/>
              </w:rPr>
              <w:t>Проблема:</w:t>
            </w:r>
            <w:r>
              <w:rPr>
                <w:rStyle w:val="a6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ystem-ui"/>
                <w:color w:val="2C2D2E"/>
                <w:sz w:val="24"/>
                <w:szCs w:val="24"/>
                <w:shd w:val="clear" w:color="auto" w:fill="FFFFFF"/>
              </w:rPr>
              <w:t>Стадион "Новобродовский", являясь центральным местом для спортивных и досуговых мероприятий в микрорайоне, испытывает острый дефицит в обеспечении безопасности, создании п</w:t>
            </w:r>
            <w:r>
              <w:rPr>
                <w:rFonts w:eastAsia="system-ui"/>
                <w:color w:val="2C2D2E"/>
                <w:sz w:val="24"/>
                <w:szCs w:val="24"/>
                <w:shd w:val="clear" w:color="auto" w:fill="FFFFFF"/>
              </w:rPr>
              <w:t>раздничной атмосферы и надлежащего освещения. Текущее состояние инфраструктуры не позволяет в полной мере удовлетворить потребности жителей в комфортном и безопасном времяпрепровождении, особенно в вечернее время и в период проведения массовых мероприятий.</w:t>
            </w:r>
          </w:p>
          <w:p w:rsidR="00170313" w:rsidRDefault="008F64ED">
            <w:pPr>
              <w:widowControl w:val="0"/>
              <w:ind w:firstLine="708"/>
              <w:jc w:val="both"/>
              <w:rPr>
                <w:rFonts w:eastAsia="system-ui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eastAsia="system-ui"/>
                <w:color w:val="2C2D2E"/>
                <w:sz w:val="24"/>
                <w:szCs w:val="24"/>
                <w:shd w:val="clear" w:color="auto" w:fill="FFFFFF"/>
              </w:rPr>
              <w:t xml:space="preserve"> Недостаточный уровень безопасности: Отсутствие достаточного количества видеокамер, особенно в зонах повышенного скопления людей (детская площадка), создает потенциальные риски для безопасности, затрудняет контроль за порядком и может препятствовать предо</w:t>
            </w:r>
            <w:r>
              <w:rPr>
                <w:rFonts w:eastAsia="system-ui"/>
                <w:color w:val="2C2D2E"/>
                <w:sz w:val="24"/>
                <w:szCs w:val="24"/>
                <w:shd w:val="clear" w:color="auto" w:fill="FFFFFF"/>
              </w:rPr>
              <w:t>твращению или расследованию инцидентов.</w:t>
            </w:r>
          </w:p>
          <w:p w:rsidR="00170313" w:rsidRDefault="008F64ED">
            <w:pPr>
              <w:widowControl w:val="0"/>
              <w:ind w:firstLine="708"/>
              <w:jc w:val="both"/>
              <w:rPr>
                <w:rFonts w:eastAsia="system-ui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eastAsia="system-ui"/>
                <w:color w:val="2C2D2E"/>
                <w:sz w:val="24"/>
                <w:szCs w:val="24"/>
                <w:shd w:val="clear" w:color="auto" w:fill="FFFFFF"/>
              </w:rPr>
              <w:t xml:space="preserve"> Отсутствие праздничной атмосферы и возможности для досуга: Стадион недостаточно оборудован для проведения торжественных мероприятий, создания праздничного настроения, особенно в преддверии и во время зимних праздник</w:t>
            </w:r>
            <w:r>
              <w:rPr>
                <w:rFonts w:eastAsia="system-ui"/>
                <w:color w:val="2C2D2E"/>
                <w:sz w:val="24"/>
                <w:szCs w:val="24"/>
                <w:shd w:val="clear" w:color="auto" w:fill="FFFFFF"/>
              </w:rPr>
              <w:t>ов. Это ограничивает возможности для организации семейного досуга и проведения событий, которые могли бы сплотить жителей.</w:t>
            </w:r>
          </w:p>
          <w:p w:rsidR="00170313" w:rsidRDefault="008F64ED">
            <w:pPr>
              <w:widowControl w:val="0"/>
              <w:ind w:firstLine="708"/>
              <w:jc w:val="both"/>
              <w:rPr>
                <w:rFonts w:eastAsia="system-ui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eastAsia="system-ui"/>
                <w:color w:val="2C2D2E"/>
                <w:sz w:val="24"/>
                <w:szCs w:val="24"/>
                <w:shd w:val="clear" w:color="auto" w:fill="FFFFFF"/>
              </w:rPr>
              <w:t>Недостаточное освещение: Отсутствие современных прожекторов и фонарей ограничивает использование территории стадиона в вечернее время</w:t>
            </w:r>
            <w:r>
              <w:rPr>
                <w:rFonts w:eastAsia="system-ui"/>
                <w:color w:val="2C2D2E"/>
                <w:sz w:val="24"/>
                <w:szCs w:val="24"/>
                <w:shd w:val="clear" w:color="auto" w:fill="FFFFFF"/>
              </w:rPr>
              <w:t xml:space="preserve"> и в темный период года, снижая комфорт и безопасность.</w:t>
            </w:r>
          </w:p>
          <w:p w:rsidR="00170313" w:rsidRDefault="00170313">
            <w:pPr>
              <w:pStyle w:val="ConsPlusNormal"/>
              <w:jc w:val="both"/>
              <w:rPr>
                <w:color w:val="000000"/>
                <w:szCs w:val="24"/>
              </w:rPr>
            </w:pPr>
          </w:p>
          <w:p w:rsidR="00170313" w:rsidRDefault="00170313">
            <w:pPr>
              <w:pStyle w:val="ConsPlusNormal"/>
              <w:jc w:val="both"/>
              <w:rPr>
                <w:color w:val="000000"/>
                <w:szCs w:val="24"/>
              </w:rPr>
            </w:pPr>
          </w:p>
          <w:p w:rsidR="00170313" w:rsidRDefault="008F64E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Цель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Преобразить стадион в безопасное и вдохновляющее пространство, создавая атмосферу праздника и уюта круглый год посредством декоративного освещения, тематических элементов и фотозон, а также об</w:t>
            </w:r>
            <w:r>
              <w:rPr>
                <w:sz w:val="24"/>
                <w:szCs w:val="24"/>
              </w:rPr>
              <w:t>еспечивая безопасность посетителей путем установки современных систем видеонаблюдения и освещения.</w:t>
            </w:r>
          </w:p>
          <w:p w:rsidR="00170313" w:rsidRDefault="00170313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  <w:p w:rsidR="00170313" w:rsidRDefault="00170313">
            <w:pPr>
              <w:pStyle w:val="ConsPlusNormal"/>
              <w:jc w:val="both"/>
              <w:rPr>
                <w:szCs w:val="24"/>
              </w:rPr>
            </w:pPr>
          </w:p>
          <w:p w:rsidR="00170313" w:rsidRDefault="008F64ED">
            <w:pPr>
              <w:pStyle w:val="ConsPlusNormal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Задачи:</w:t>
            </w:r>
          </w:p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FFFFFF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1. </w:t>
            </w:r>
            <w:r>
              <w:rPr>
                <w:color w:val="000000"/>
                <w:sz w:val="24"/>
                <w:szCs w:val="24"/>
                <w:highlight w:val="white"/>
              </w:rPr>
              <w:t>Обеспечить безопасность стадиона "Новобродовский" путем установки современной системы видеонаблюдения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в имеющуюся рабочую систему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( дополнительные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камеры )</w:t>
            </w:r>
          </w:p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FFFFFF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2. Создать привлекательную и праздничную атмосферу на стадионе "Новобродовский" путем монтажа декоративного освещения (гирлянд).</w:t>
            </w:r>
          </w:p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FFFFFF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3. Благоустроить территорию стадиона "Новобродовский" (по адресу: Бродов</w:t>
            </w:r>
            <w:r>
              <w:rPr>
                <w:color w:val="000000"/>
                <w:sz w:val="24"/>
                <w:szCs w:val="24"/>
                <w:highlight w:val="white"/>
              </w:rPr>
              <w:t>ское кольцо, 8) путем озеленения: высадки сосен, елей, кустарников и цветов.</w:t>
            </w:r>
          </w:p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FFFFFF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4. Информировать общественность о ходе выполнения и достигнутых результатах проекта через доступные информационные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каналы.Обеспечить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безопасность стадиона "Новобродовский" путем у</w:t>
            </w:r>
            <w:r>
              <w:rPr>
                <w:color w:val="000000"/>
                <w:sz w:val="24"/>
                <w:szCs w:val="24"/>
                <w:highlight w:val="white"/>
              </w:rPr>
              <w:t>становки современной системы видеонаблюдения.</w:t>
            </w:r>
          </w:p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FFFFFF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2. Создать привлекательную и праздничную атмосферу на стадионе "Новобродовский" путем монтажа декоративного освещения (гирлянд).</w:t>
            </w:r>
          </w:p>
          <w:p w:rsidR="00170313" w:rsidRDefault="008F6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FFFFFF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3. Благоустроить территорию стадиона "Новобродовский" (по адресу: Бродовское коль</w:t>
            </w:r>
            <w:r>
              <w:rPr>
                <w:color w:val="000000"/>
                <w:sz w:val="24"/>
                <w:szCs w:val="24"/>
                <w:highlight w:val="white"/>
              </w:rPr>
              <w:t>цо, 8) путем озеленения: высадки сосен, елей, кустарников и цветов.</w:t>
            </w:r>
          </w:p>
          <w:p w:rsidR="00170313" w:rsidRDefault="008F64ED">
            <w:pPr>
              <w:pStyle w:val="a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4. Информировать общественность о ходе выполнения и достигнутых результатах проекта через доступные информационные каналы.</w:t>
            </w:r>
          </w:p>
          <w:p w:rsidR="00170313" w:rsidRDefault="00170313">
            <w:pPr>
              <w:jc w:val="both"/>
              <w:rPr>
                <w:sz w:val="24"/>
                <w:szCs w:val="24"/>
              </w:rPr>
            </w:pPr>
          </w:p>
          <w:p w:rsidR="00170313" w:rsidRPr="00765A5D" w:rsidRDefault="008F64ED">
            <w:pPr>
              <w:pStyle w:val="af4"/>
              <w:rPr>
                <w:color w:val="000000"/>
                <w:lang w:val="ru-RU"/>
              </w:rPr>
            </w:pPr>
            <w:r>
              <w:rPr>
                <w:b/>
                <w:bCs/>
                <w:lang w:val="ru-RU"/>
              </w:rPr>
              <w:t>Актуальность проекта</w:t>
            </w:r>
            <w:r w:rsidRPr="00765A5D">
              <w:rPr>
                <w:rStyle w:val="a6"/>
                <w:color w:val="000000"/>
                <w:lang w:val="ru-RU"/>
              </w:rPr>
              <w:t xml:space="preserve">: </w:t>
            </w:r>
          </w:p>
          <w:p w:rsidR="00170313" w:rsidRPr="00765A5D" w:rsidRDefault="008F64ED">
            <w:pPr>
              <w:pStyle w:val="af4"/>
              <w:rPr>
                <w:color w:val="000000"/>
                <w:lang w:val="ru-RU"/>
              </w:rPr>
            </w:pPr>
            <w:r w:rsidRPr="00765A5D">
              <w:rPr>
                <w:color w:val="000000"/>
                <w:lang w:val="ru-RU"/>
              </w:rPr>
              <w:t>Актуальность данного проекта в первую оче</w:t>
            </w:r>
            <w:r w:rsidRPr="00765A5D">
              <w:rPr>
                <w:color w:val="000000"/>
                <w:lang w:val="ru-RU"/>
              </w:rPr>
              <w:t>редь обусловлена</w:t>
            </w:r>
            <w:r>
              <w:rPr>
                <w:color w:val="000000"/>
              </w:rPr>
              <w:t> </w:t>
            </w:r>
            <w:r w:rsidRPr="00765A5D">
              <w:rPr>
                <w:rStyle w:val="a6"/>
                <w:b w:val="0"/>
                <w:bCs w:val="0"/>
                <w:color w:val="000000"/>
                <w:lang w:val="ru-RU"/>
              </w:rPr>
              <w:t>фундаментальной потребностью каждого человека в безопасности</w:t>
            </w:r>
            <w:r w:rsidRPr="00765A5D">
              <w:rPr>
                <w:color w:val="000000"/>
                <w:lang w:val="ru-RU"/>
              </w:rPr>
              <w:t>. Как неоднократно подчеркивал Президент Российской Ф</w:t>
            </w:r>
            <w:r w:rsidRPr="00765A5D">
              <w:rPr>
                <w:color w:val="000000"/>
                <w:lang w:val="ru-RU"/>
              </w:rPr>
              <w:t>едерации Владимир Путин, обеспечение безопасности граждан является наивысшим приоритетом государства. В своих выступлениях он акцентировал внимание на важности создания безопасной среды как для жизни, так и для развития каждого человека и общества в целом.</w:t>
            </w:r>
          </w:p>
          <w:p w:rsidR="00170313" w:rsidRPr="00765A5D" w:rsidRDefault="008F64ED">
            <w:pPr>
              <w:pStyle w:val="af4"/>
              <w:rPr>
                <w:color w:val="000000"/>
                <w:lang w:val="ru-RU"/>
              </w:rPr>
            </w:pPr>
            <w:r w:rsidRPr="00765A5D">
              <w:rPr>
                <w:color w:val="000000"/>
                <w:lang w:val="ru-RU"/>
              </w:rPr>
              <w:t>Данный аспект напрямую отражен и в законодательстве Российской Федерации.</w:t>
            </w:r>
            <w:r>
              <w:rPr>
                <w:color w:val="000000"/>
              </w:rPr>
              <w:t> </w:t>
            </w:r>
            <w:r w:rsidRPr="00765A5D">
              <w:rPr>
                <w:rStyle w:val="a6"/>
                <w:b w:val="0"/>
                <w:bCs w:val="0"/>
                <w:color w:val="000000"/>
                <w:lang w:val="ru-RU"/>
              </w:rPr>
              <w:t xml:space="preserve">Федеральный закон от 6 октября 2003 г. </w:t>
            </w:r>
            <w:r>
              <w:rPr>
                <w:rStyle w:val="a6"/>
                <w:b w:val="0"/>
                <w:bCs w:val="0"/>
                <w:color w:val="000000"/>
              </w:rPr>
              <w:t>N</w:t>
            </w:r>
            <w:r w:rsidRPr="00765A5D">
              <w:rPr>
                <w:rStyle w:val="a6"/>
                <w:b w:val="0"/>
                <w:bCs w:val="0"/>
                <w:color w:val="000000"/>
                <w:lang w:val="ru-RU"/>
              </w:rPr>
              <w:t xml:space="preserve"> 131-ФЗ "Об общих принципах организации местного самоуправления в Российской Федерации"</w:t>
            </w:r>
            <w:r>
              <w:rPr>
                <w:color w:val="000000"/>
              </w:rPr>
              <w:t> </w:t>
            </w:r>
            <w:r w:rsidRPr="00765A5D">
              <w:rPr>
                <w:color w:val="000000"/>
                <w:lang w:val="ru-RU"/>
              </w:rPr>
              <w:t>определяет полномочия органов местного самоуправления</w:t>
            </w:r>
            <w:r w:rsidRPr="00765A5D">
              <w:rPr>
                <w:color w:val="000000"/>
                <w:lang w:val="ru-RU"/>
              </w:rPr>
              <w:t xml:space="preserve">, к которым относится и обеспечение первичных мер пожарной безопасности, участие в организации охраны общественного порядка, создание условий для отдыха жителей. Хотя прямого упоминания о видеонаблюдении как об обязанном элементе, закон создает основу для </w:t>
            </w:r>
            <w:r w:rsidRPr="00765A5D">
              <w:rPr>
                <w:color w:val="000000"/>
                <w:lang w:val="ru-RU"/>
              </w:rPr>
              <w:t>инициатив, направленных на повышение общественной безопасности на территории муниципальных образований. Это означает, что создание безопасной среды на стадионе, являющемся общественным пространством, полностью соответствует задачам местного самоуправления.</w:t>
            </w:r>
          </w:p>
          <w:p w:rsidR="00170313" w:rsidRPr="00765A5D" w:rsidRDefault="008F64ED">
            <w:pPr>
              <w:pStyle w:val="af4"/>
              <w:rPr>
                <w:color w:val="000000"/>
                <w:lang w:val="ru-RU"/>
              </w:rPr>
            </w:pPr>
            <w:r w:rsidRPr="00765A5D">
              <w:rPr>
                <w:color w:val="000000"/>
                <w:lang w:val="ru-RU"/>
              </w:rPr>
              <w:t>Оснащение стадиона видеокамерами, в особенности на детской площадке, является прямым ответом на эту потребность. Это не просто улучшение инфраструктуры, а инвестиция в спокойствие жителей, в возможность для детей играть без постоянного беспокойства родите</w:t>
            </w:r>
            <w:r w:rsidRPr="00765A5D">
              <w:rPr>
                <w:color w:val="000000"/>
                <w:lang w:val="ru-RU"/>
              </w:rPr>
              <w:t>лей, в снижение рисков правонарушений и в более эффективное поддержание общественного порядка.</w:t>
            </w:r>
          </w:p>
          <w:p w:rsidR="00170313" w:rsidRPr="00765A5D" w:rsidRDefault="008F64ED">
            <w:pPr>
              <w:pStyle w:val="af4"/>
              <w:rPr>
                <w:color w:val="000000"/>
                <w:lang w:val="ru-RU"/>
              </w:rPr>
            </w:pPr>
            <w:r w:rsidRPr="00765A5D">
              <w:rPr>
                <w:color w:val="000000"/>
                <w:lang w:val="ru-RU"/>
              </w:rPr>
              <w:t>Помимо безопасности, проект также направлен на</w:t>
            </w:r>
            <w:r>
              <w:rPr>
                <w:color w:val="000000"/>
              </w:rPr>
              <w:t> </w:t>
            </w:r>
            <w:r w:rsidRPr="00765A5D">
              <w:rPr>
                <w:rStyle w:val="a6"/>
                <w:b w:val="0"/>
                <w:bCs w:val="0"/>
                <w:color w:val="000000"/>
                <w:lang w:val="ru-RU"/>
              </w:rPr>
              <w:t>создание праздничной атмосферы и условий для развития досуговой инфраструктуры</w:t>
            </w:r>
            <w:r w:rsidRPr="00765A5D">
              <w:rPr>
                <w:color w:val="000000"/>
                <w:lang w:val="ru-RU"/>
              </w:rPr>
              <w:t>. Актуальность данного направления т</w:t>
            </w:r>
            <w:r w:rsidRPr="00765A5D">
              <w:rPr>
                <w:color w:val="000000"/>
                <w:lang w:val="ru-RU"/>
              </w:rPr>
              <w:t>акже высока, ведь именно такие объекты, как стадион, формируют социальную ткань микрорайона, способствуют его развитию и делают жизнь жителей более насыщенной и качественной. Наличие фотозон, праздничного оформления и возможности для поздравлений, особенно</w:t>
            </w:r>
            <w:r w:rsidRPr="00765A5D">
              <w:rPr>
                <w:color w:val="000000"/>
                <w:lang w:val="ru-RU"/>
              </w:rPr>
              <w:t xml:space="preserve"> адресных </w:t>
            </w:r>
            <w:r w:rsidRPr="00765A5D">
              <w:rPr>
                <w:color w:val="000000"/>
                <w:lang w:val="ru-RU"/>
              </w:rPr>
              <w:t xml:space="preserve">(многодетные семьи, семьи СВО), имеет большое значение для укрепления социальных связей и поддержания </w:t>
            </w:r>
            <w:r w:rsidRPr="00765A5D">
              <w:rPr>
                <w:color w:val="000000"/>
                <w:lang w:val="ru-RU"/>
              </w:rPr>
              <w:lastRenderedPageBreak/>
              <w:t>позитивного настроя в обществе.</w:t>
            </w:r>
          </w:p>
          <w:p w:rsidR="00170313" w:rsidRDefault="008F64ED">
            <w:pPr>
              <w:pStyle w:val="af4"/>
              <w:rPr>
                <w:b/>
                <w:bCs/>
                <w:color w:val="000000"/>
              </w:rPr>
            </w:pPr>
            <w:proofErr w:type="spellStart"/>
            <w:r>
              <w:rPr>
                <w:rStyle w:val="a6"/>
                <w:color w:val="000000"/>
              </w:rPr>
              <w:t>Ожидаемые</w:t>
            </w:r>
            <w:proofErr w:type="spellEnd"/>
            <w:r>
              <w:rPr>
                <w:rStyle w:val="a6"/>
                <w:color w:val="000000"/>
              </w:rPr>
              <w:t xml:space="preserve"> </w:t>
            </w:r>
            <w:proofErr w:type="spellStart"/>
            <w:r>
              <w:rPr>
                <w:rStyle w:val="a6"/>
                <w:color w:val="000000"/>
              </w:rPr>
              <w:t>результаты</w:t>
            </w:r>
            <w:proofErr w:type="spellEnd"/>
            <w:r>
              <w:rPr>
                <w:rStyle w:val="a6"/>
                <w:color w:val="000000"/>
              </w:rPr>
              <w:t>:</w:t>
            </w:r>
          </w:p>
          <w:p w:rsidR="00170313" w:rsidRDefault="008F64ED">
            <w:pPr>
              <w:numPr>
                <w:ilvl w:val="0"/>
                <w:numId w:val="2"/>
              </w:numPr>
              <w:spacing w:beforeAutospacing="1" w:afterAutospacing="1"/>
              <w:rPr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Повышение уровня безопасности на стадионе:</w:t>
            </w:r>
            <w:r>
              <w:rPr>
                <w:color w:val="000000"/>
                <w:sz w:val="24"/>
                <w:szCs w:val="24"/>
              </w:rPr>
              <w:t> Увеличение числа видеокамер, в том числе на детской площадке, позволит вести мониторинг территории, оперативно реагировать на нештатные ситуации и повысит общий уровень спокойствия жителей.</w:t>
            </w:r>
          </w:p>
          <w:p w:rsidR="00170313" w:rsidRDefault="008F64ED">
            <w:pPr>
              <w:numPr>
                <w:ilvl w:val="0"/>
                <w:numId w:val="2"/>
              </w:numPr>
              <w:spacing w:beforeAutospacing="1" w:afterAutospacing="1"/>
              <w:rPr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Создание привлекательной площадки для проведения мероприятий:</w:t>
            </w:r>
            <w:r>
              <w:rPr>
                <w:color w:val="000000"/>
                <w:sz w:val="24"/>
                <w:szCs w:val="24"/>
              </w:rPr>
              <w:t> Нал</w:t>
            </w:r>
            <w:r>
              <w:rPr>
                <w:color w:val="000000"/>
                <w:sz w:val="24"/>
                <w:szCs w:val="24"/>
              </w:rPr>
              <w:t>ичие фотозон и праздничного оформления (гирлянды, светодиодные олени) сделает стадион более привлекательным местом для проведения как официальных, так и неформальных мероприятий.</w:t>
            </w:r>
          </w:p>
          <w:p w:rsidR="00170313" w:rsidRDefault="008F64ED">
            <w:pPr>
              <w:numPr>
                <w:ilvl w:val="0"/>
                <w:numId w:val="2"/>
              </w:numPr>
              <w:spacing w:beforeAutospacing="1" w:afterAutospacing="1"/>
              <w:rPr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Создание праздничной атмосферы в зимний период:</w:t>
            </w:r>
            <w:r>
              <w:rPr>
                <w:color w:val="000000"/>
                <w:sz w:val="24"/>
                <w:szCs w:val="24"/>
              </w:rPr>
              <w:t> Яркое освещение и праздничный</w:t>
            </w:r>
            <w:r>
              <w:rPr>
                <w:color w:val="000000"/>
                <w:sz w:val="24"/>
                <w:szCs w:val="24"/>
              </w:rPr>
              <w:t xml:space="preserve"> декор преобразят стадион, создадут новогоднее настроение и привлекут жителей к совместному времяпровождению.</w:t>
            </w:r>
          </w:p>
          <w:p w:rsidR="00170313" w:rsidRDefault="008F64ED">
            <w:pPr>
              <w:numPr>
                <w:ilvl w:val="0"/>
                <w:numId w:val="2"/>
              </w:numPr>
              <w:spacing w:beforeAutospacing="1" w:afterAutospacing="1"/>
              <w:rPr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Улучшение освещенности территории:</w:t>
            </w:r>
            <w:r>
              <w:rPr>
                <w:color w:val="000000"/>
                <w:sz w:val="24"/>
                <w:szCs w:val="24"/>
              </w:rPr>
              <w:t> Установка прожекторов и фонарей обеспечит безопасное и комфортное пребывание на стадионе в вечернее и ночное вр</w:t>
            </w:r>
            <w:r>
              <w:rPr>
                <w:color w:val="000000"/>
                <w:sz w:val="24"/>
                <w:szCs w:val="24"/>
              </w:rPr>
              <w:t>емя.</w:t>
            </w:r>
          </w:p>
          <w:p w:rsidR="00170313" w:rsidRDefault="008F64ED">
            <w:pPr>
              <w:numPr>
                <w:ilvl w:val="0"/>
                <w:numId w:val="2"/>
              </w:numPr>
              <w:spacing w:beforeAutospacing="1" w:afterAutospacing="1"/>
              <w:rPr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Оказание адресной социальной поддержки:</w:t>
            </w:r>
            <w:r>
              <w:rPr>
                <w:color w:val="000000"/>
                <w:sz w:val="24"/>
                <w:szCs w:val="24"/>
              </w:rPr>
              <w:t> Поздравления от Деда Мороза в специально приобретенном костюме для многодетных семей и семей СВО принесут радость и ощущение внимания этим семьям.</w:t>
            </w:r>
          </w:p>
          <w:p w:rsidR="00170313" w:rsidRDefault="008F64ED">
            <w:pPr>
              <w:numPr>
                <w:ilvl w:val="0"/>
                <w:numId w:val="2"/>
              </w:numPr>
              <w:spacing w:beforeAutospacing="1" w:afterAutospacing="1"/>
              <w:rPr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Укрепление чувства общности и социальной сплоченности</w:t>
            </w:r>
            <w:r>
              <w:rPr>
                <w:color w:val="000000"/>
                <w:sz w:val="24"/>
                <w:szCs w:val="24"/>
              </w:rPr>
              <w:t> жителей ми</w:t>
            </w:r>
            <w:r>
              <w:rPr>
                <w:color w:val="000000"/>
                <w:sz w:val="24"/>
                <w:szCs w:val="24"/>
              </w:rPr>
              <w:t>крорайона через совместное участие в мероприятиях и создание общей праздничной среды.</w:t>
            </w:r>
          </w:p>
          <w:p w:rsidR="00170313" w:rsidRDefault="008F64ED">
            <w:pPr>
              <w:numPr>
                <w:ilvl w:val="0"/>
                <w:numId w:val="2"/>
              </w:numPr>
              <w:spacing w:beforeAutospacing="1" w:afterAutospacing="1"/>
              <w:rPr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Повышение привлекательности стадиона</w:t>
            </w:r>
            <w:r>
              <w:rPr>
                <w:color w:val="000000"/>
                <w:sz w:val="24"/>
                <w:szCs w:val="24"/>
              </w:rPr>
              <w:t> как места для семейного досуга и общественного пространства.</w:t>
            </w:r>
          </w:p>
          <w:p w:rsidR="00170313" w:rsidRDefault="00170313">
            <w:pPr>
              <w:widowControl w:val="0"/>
              <w:rPr>
                <w:sz w:val="24"/>
                <w:szCs w:val="24"/>
              </w:rPr>
            </w:pPr>
          </w:p>
          <w:p w:rsidR="00170313" w:rsidRDefault="00170313">
            <w:pPr>
              <w:pStyle w:val="ConsPlusNormal"/>
              <w:rPr>
                <w:szCs w:val="24"/>
              </w:rPr>
            </w:pPr>
          </w:p>
          <w:p w:rsidR="00170313" w:rsidRDefault="008F64ED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8. Сведения о расчетах расходов на реализацию инициативного проекта:</w:t>
            </w:r>
          </w:p>
          <w:p w:rsidR="00170313" w:rsidRDefault="00170313">
            <w:pPr>
              <w:pStyle w:val="ConsPlusNormal"/>
              <w:rPr>
                <w:szCs w:val="24"/>
              </w:rPr>
            </w:pPr>
          </w:p>
          <w:p w:rsidR="00170313" w:rsidRDefault="008F64ED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noProof/>
                <w:position w:val="-3"/>
                <w:szCs w:val="24"/>
              </w:rPr>
              <w:drawing>
                <wp:inline distT="0" distB="0" distL="0" distR="0">
                  <wp:extent cx="148590" cy="19431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Консультант Плюс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</w:rPr>
              <w:t xml:space="preserve"> унифицированная форма локально-сметного расчета;</w:t>
            </w:r>
          </w:p>
          <w:p w:rsidR="00170313" w:rsidRDefault="008F64ED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noProof/>
                <w:position w:val="-3"/>
                <w:szCs w:val="24"/>
              </w:rPr>
              <w:drawing>
                <wp:inline distT="0" distB="0" distL="0" distR="0">
                  <wp:extent cx="148590" cy="19431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Консультант Плюс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</w:rPr>
              <w:t xml:space="preserve"> </w:t>
            </w:r>
            <w:r>
              <w:rPr>
                <w:bCs/>
                <w:szCs w:val="24"/>
                <w:u w:val="single"/>
              </w:rPr>
              <w:t>смета расходов на приобретение товаров / оказание услуг.</w:t>
            </w:r>
          </w:p>
          <w:p w:rsidR="00170313" w:rsidRDefault="00170313">
            <w:pPr>
              <w:pStyle w:val="ConsPlusNormal"/>
              <w:rPr>
                <w:szCs w:val="24"/>
              </w:rPr>
            </w:pPr>
          </w:p>
          <w:p w:rsidR="00170313" w:rsidRDefault="008F64ED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9. Сведения, необходимые для оценки инициативного проекта при проведении конкурсного отбора:</w:t>
            </w:r>
          </w:p>
          <w:p w:rsidR="00170313" w:rsidRDefault="008F64ED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9.1. Наличие видеозаписи собрания или конференции граждан, в том числе собрания или конференции граждан по вопросам осуществления ТОС, на котором(ой) решался вопрос о поддержке инициативного проекта (далее - видеозапись):</w:t>
            </w:r>
          </w:p>
          <w:p w:rsidR="00170313" w:rsidRDefault="00170313">
            <w:pPr>
              <w:pStyle w:val="ConsPlusNormal"/>
              <w:rPr>
                <w:szCs w:val="24"/>
              </w:rPr>
            </w:pPr>
          </w:p>
          <w:p w:rsidR="00170313" w:rsidRDefault="008F64ED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noProof/>
                <w:position w:val="-3"/>
                <w:szCs w:val="24"/>
              </w:rPr>
              <w:drawing>
                <wp:inline distT="0" distB="0" distL="0" distR="0">
                  <wp:extent cx="148590" cy="19431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Консультант Плюс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u w:val="single"/>
              </w:rPr>
              <w:t>наличие видеозаписи (прикладыва</w:t>
            </w:r>
            <w:r>
              <w:rPr>
                <w:szCs w:val="24"/>
                <w:u w:val="single"/>
              </w:rPr>
              <w:t>ется к проекту на электронном носителе)</w:t>
            </w:r>
            <w:r>
              <w:rPr>
                <w:szCs w:val="24"/>
              </w:rPr>
              <w:t>.</w:t>
            </w:r>
          </w:p>
          <w:p w:rsidR="00170313" w:rsidRDefault="008F64ED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9.2. Перечень информационных каналов по продвижению инициативного проекта среди граждан:</w:t>
            </w:r>
          </w:p>
          <w:p w:rsidR="00170313" w:rsidRDefault="008F64ED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информационные стенды (листовки, объявления, брошюры, буклеты) (при наличии к проекту необходимо приложить копии документов, р</w:t>
            </w:r>
            <w:r>
              <w:rPr>
                <w:szCs w:val="24"/>
              </w:rPr>
              <w:t>азмещенных на информационных стендах);</w:t>
            </w:r>
          </w:p>
          <w:p w:rsidR="00170313" w:rsidRDefault="008F64ED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публикация статей (заметок) в тираже или части тиража отдельного номера периодического печатного издания, отдельного выпуска либо обновлении сетевого издания (при наличии к инициативному проекту необходимо приложить к</w:t>
            </w:r>
            <w:r>
              <w:rPr>
                <w:szCs w:val="24"/>
              </w:rPr>
              <w:t>опии материалов, размещенных в тираже или части тиража отдельного номера периодического печатного издания)</w:t>
            </w:r>
          </w:p>
          <w:p w:rsidR="00170313" w:rsidRDefault="008F64ED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>
              <w:rPr>
                <w:szCs w:val="24"/>
              </w:rPr>
              <w:t>убликация на сайте Вести-Пермь</w:t>
            </w:r>
          </w:p>
          <w:p w:rsidR="00170313" w:rsidRDefault="008F64ED">
            <w:pPr>
              <w:pStyle w:val="ConsPlusNormal"/>
              <w:jc w:val="both"/>
              <w:rPr>
                <w:rStyle w:val="a5"/>
                <w:szCs w:val="24"/>
              </w:rPr>
            </w:pPr>
            <w:hyperlink r:id="rId10" w:history="1">
              <w:r>
                <w:rPr>
                  <w:rStyle w:val="a5"/>
                  <w:szCs w:val="24"/>
                </w:rPr>
                <w:t>https://vesti-perm.ru/publications/e3d6ad27-e347-4de2-bb33-963fc1ec21f3</w:t>
              </w:r>
            </w:hyperlink>
          </w:p>
          <w:p w:rsidR="00170313" w:rsidRDefault="008F64ED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Публикация на сайте Администрации Свердловского района</w:t>
            </w:r>
          </w:p>
          <w:p w:rsidR="00170313" w:rsidRDefault="008F64ED">
            <w:pPr>
              <w:jc w:val="center"/>
              <w:rPr>
                <w:color w:val="0000FF"/>
                <w:sz w:val="24"/>
                <w:szCs w:val="24"/>
              </w:rPr>
            </w:pPr>
            <w:hyperlink r:id="rId11" w:history="1">
              <w:r>
                <w:rPr>
                  <w:rStyle w:val="a5"/>
                  <w:sz w:val="24"/>
                  <w:szCs w:val="24"/>
                </w:rPr>
                <w:t>https://vk.com/nbperm?from=groups</w:t>
              </w:r>
            </w:hyperlink>
            <w:r>
              <w:rPr>
                <w:color w:val="0000FF"/>
                <w:sz w:val="24"/>
                <w:szCs w:val="24"/>
              </w:rPr>
              <w:t>https://raion.gorodperm.ru/sverdlovskij/nov</w:t>
            </w:r>
            <w:r>
              <w:rPr>
                <w:color w:val="0000FF"/>
                <w:sz w:val="24"/>
                <w:szCs w:val="24"/>
              </w:rPr>
              <w:t>osti/2025/10/27/141708/</w:t>
            </w:r>
          </w:p>
          <w:p w:rsidR="00170313" w:rsidRDefault="008F64ED">
            <w:pPr>
              <w:pStyle w:val="ConsPlusNormal"/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  <w:lang w:eastAsia="en-US"/>
              </w:rPr>
              <w:t>Публикации в группе «Новобродовский</w:t>
            </w:r>
            <w:r>
              <w:rPr>
                <w:rFonts w:eastAsia="Calibri"/>
                <w:szCs w:val="24"/>
                <w:lang w:eastAsia="en-US"/>
              </w:rPr>
              <w:t xml:space="preserve"> - </w:t>
            </w:r>
            <w:r>
              <w:rPr>
                <w:rFonts w:eastAsia="Calibri"/>
                <w:szCs w:val="24"/>
                <w:lang w:eastAsia="en-US"/>
              </w:rPr>
              <w:t>это Пермь» социальной сети «Вконтакте»</w:t>
            </w:r>
          </w:p>
          <w:p w:rsidR="00170313" w:rsidRDefault="008F64ED">
            <w:pPr>
              <w:pStyle w:val="ConsPlusNormal"/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</w:t>
            </w:r>
            <w:hyperlink r:id="rId12" w:history="1">
              <w:r>
                <w:rPr>
                  <w:rStyle w:val="a5"/>
                  <w:szCs w:val="24"/>
                </w:rPr>
                <w:t>https://vk.com/nbperm?from=groups</w:t>
              </w:r>
            </w:hyperlink>
          </w:p>
          <w:p w:rsidR="00170313" w:rsidRDefault="008F64ED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Группа социальной сети «ВКонтакте» «Общественность Свердловского района»</w:t>
            </w:r>
          </w:p>
          <w:p w:rsidR="00170313" w:rsidRDefault="008F64ED">
            <w:pPr>
              <w:pStyle w:val="af9"/>
              <w:widowControl w:val="0"/>
              <w:jc w:val="both"/>
              <w:rPr>
                <w:sz w:val="24"/>
                <w:szCs w:val="24"/>
              </w:rPr>
            </w:pPr>
            <w:hyperlink r:id="rId13" w:history="1">
              <w:r>
                <w:rPr>
                  <w:rStyle w:val="a5"/>
                  <w:sz w:val="24"/>
                  <w:szCs w:val="24"/>
                </w:rPr>
                <w:t>https://vk.com/sverdlovskiyraioncommunity?w=wall-124973979_19007</w:t>
              </w:r>
            </w:hyperlink>
          </w:p>
          <w:p w:rsidR="00170313" w:rsidRDefault="008F64ED">
            <w:pPr>
              <w:pStyle w:val="af9"/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Публиация</w:t>
            </w:r>
            <w:proofErr w:type="spellEnd"/>
            <w:r>
              <w:rPr>
                <w:sz w:val="24"/>
                <w:szCs w:val="24"/>
              </w:rPr>
              <w:t xml:space="preserve"> в городском </w:t>
            </w:r>
            <w:proofErr w:type="spellStart"/>
            <w:r>
              <w:rPr>
                <w:sz w:val="24"/>
                <w:szCs w:val="24"/>
              </w:rPr>
              <w:t>паблике</w:t>
            </w:r>
            <w:proofErr w:type="spellEnd"/>
            <w:r>
              <w:rPr>
                <w:sz w:val="24"/>
                <w:szCs w:val="24"/>
              </w:rPr>
              <w:t xml:space="preserve"> «Твой С</w:t>
            </w:r>
            <w:r>
              <w:rPr>
                <w:sz w:val="24"/>
                <w:szCs w:val="24"/>
              </w:rPr>
              <w:t>вердловский»</w:t>
            </w:r>
          </w:p>
          <w:p w:rsidR="00170313" w:rsidRDefault="008F64ED">
            <w:pPr>
              <w:pStyle w:val="ConsPlusNormal"/>
              <w:ind w:firstLine="283"/>
              <w:jc w:val="both"/>
              <w:rPr>
                <w:szCs w:val="24"/>
              </w:rPr>
            </w:pPr>
            <w:hyperlink r:id="rId14" w:history="1">
              <w:r>
                <w:rPr>
                  <w:rStyle w:val="a5"/>
                  <w:szCs w:val="24"/>
                </w:rPr>
                <w:t>https://vk.com/tvoyswerdlovsky?w=wall-216451153_15305</w:t>
              </w:r>
            </w:hyperlink>
          </w:p>
          <w:p w:rsidR="00170313" w:rsidRDefault="008F64ED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________________________________________________________________________;</w:t>
            </w:r>
          </w:p>
          <w:p w:rsidR="00170313" w:rsidRDefault="00170313">
            <w:pPr>
              <w:pStyle w:val="ConsPlusNormal"/>
              <w:jc w:val="center"/>
              <w:rPr>
                <w:szCs w:val="24"/>
              </w:rPr>
            </w:pPr>
          </w:p>
          <w:p w:rsidR="00170313" w:rsidRDefault="008F64ED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средства массовой информации (при наличии к </w:t>
            </w:r>
            <w:r>
              <w:rPr>
                <w:szCs w:val="24"/>
              </w:rPr>
              <w:t>инициативному проекту необходимо приложить аудио- (видео-) записи с указанием даты размещения и названия источника в случае размещения информации об инициативном проекте в средствах массовой информации (на телеканалах, радиоканалах, телепрограммах, радиопр</w:t>
            </w:r>
            <w:r>
              <w:rPr>
                <w:szCs w:val="24"/>
              </w:rPr>
              <w:t>ограммах, видеопрограммах, кинохроникальных программах);</w:t>
            </w:r>
          </w:p>
          <w:p w:rsidR="00170313" w:rsidRDefault="008F64ED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социальные сети, мессенджеры</w:t>
            </w:r>
          </w:p>
          <w:p w:rsidR="00170313" w:rsidRDefault="008F64ED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>
              <w:rPr>
                <w:szCs w:val="24"/>
              </w:rPr>
              <w:t>убликация на сайте Вести-Пермь</w:t>
            </w:r>
          </w:p>
          <w:p w:rsidR="00170313" w:rsidRDefault="008F64ED">
            <w:pPr>
              <w:pStyle w:val="ConsPlusNormal"/>
              <w:jc w:val="both"/>
              <w:rPr>
                <w:szCs w:val="24"/>
              </w:rPr>
            </w:pPr>
            <w:hyperlink r:id="rId15" w:history="1">
              <w:r>
                <w:rPr>
                  <w:rStyle w:val="a5"/>
                  <w:szCs w:val="24"/>
                </w:rPr>
                <w:t>https://vesti-perm.ru/publications/e3d6ad27-e347-4de2</w:t>
              </w:r>
              <w:r>
                <w:rPr>
                  <w:rStyle w:val="a5"/>
                  <w:szCs w:val="24"/>
                </w:rPr>
                <w:t>-bb33-963fc1ec21f3</w:t>
              </w:r>
            </w:hyperlink>
            <w:r>
              <w:rPr>
                <w:szCs w:val="24"/>
              </w:rPr>
              <w:t>_______________________________________________________________</w:t>
            </w:r>
          </w:p>
          <w:p w:rsidR="00170313" w:rsidRDefault="008F64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(при наличии необходимо указать ссылку на материалы, опубликованные в социальных сетях, мессенджерах, к проекту необходимо приложить скриншот материалов, опубликованных в </w:t>
            </w:r>
            <w:r>
              <w:rPr>
                <w:szCs w:val="24"/>
              </w:rPr>
              <w:t>социальных сетях, мессенджерах)</w:t>
            </w:r>
          </w:p>
          <w:p w:rsidR="00170313" w:rsidRDefault="00170313">
            <w:pPr>
              <w:pStyle w:val="ConsPlusNormal"/>
              <w:jc w:val="center"/>
              <w:rPr>
                <w:szCs w:val="24"/>
              </w:rPr>
            </w:pPr>
          </w:p>
          <w:p w:rsidR="00170313" w:rsidRDefault="00170313">
            <w:pPr>
              <w:pStyle w:val="ConsPlusNormal"/>
              <w:jc w:val="center"/>
              <w:rPr>
                <w:szCs w:val="24"/>
              </w:rPr>
            </w:pPr>
          </w:p>
          <w:p w:rsidR="00170313" w:rsidRDefault="00170313">
            <w:pPr>
              <w:pStyle w:val="ConsPlusNormal"/>
              <w:jc w:val="center"/>
              <w:rPr>
                <w:szCs w:val="24"/>
              </w:rPr>
            </w:pPr>
          </w:p>
          <w:p w:rsidR="00170313" w:rsidRDefault="00170313">
            <w:pPr>
              <w:pStyle w:val="ConsPlusNormal"/>
              <w:jc w:val="center"/>
              <w:rPr>
                <w:szCs w:val="24"/>
              </w:rPr>
            </w:pPr>
          </w:p>
          <w:p w:rsidR="00170313" w:rsidRDefault="00170313">
            <w:pPr>
              <w:pStyle w:val="ConsPlusNormal"/>
              <w:jc w:val="center"/>
              <w:rPr>
                <w:szCs w:val="24"/>
              </w:rPr>
            </w:pPr>
          </w:p>
          <w:p w:rsidR="00170313" w:rsidRDefault="00170313">
            <w:pPr>
              <w:pStyle w:val="ConsPlusNormal"/>
              <w:jc w:val="center"/>
              <w:rPr>
                <w:szCs w:val="24"/>
              </w:rPr>
            </w:pPr>
          </w:p>
          <w:p w:rsidR="00170313" w:rsidRDefault="00170313">
            <w:pPr>
              <w:pStyle w:val="ConsPlusNormal"/>
              <w:ind w:firstLine="283"/>
              <w:jc w:val="both"/>
              <w:rPr>
                <w:szCs w:val="24"/>
              </w:rPr>
            </w:pPr>
          </w:p>
          <w:p w:rsidR="00170313" w:rsidRDefault="008F64ED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инициаторе проекта:</w:t>
            </w:r>
          </w:p>
          <w:p w:rsidR="00170313" w:rsidRDefault="008F64ED">
            <w:pPr>
              <w:widowControl w:val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Барановская Анна Владимировна, председатель МОО ТОС </w:t>
            </w:r>
            <w:proofErr w:type="spellStart"/>
            <w:r>
              <w:rPr>
                <w:sz w:val="24"/>
                <w:szCs w:val="24"/>
              </w:rPr>
              <w:t>Новобродовсий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70313" w:rsidRDefault="00170313">
            <w:pPr>
              <w:widowControl w:val="0"/>
              <w:ind w:firstLine="708"/>
              <w:jc w:val="both"/>
              <w:rPr>
                <w:sz w:val="24"/>
                <w:szCs w:val="24"/>
              </w:rPr>
            </w:pPr>
          </w:p>
          <w:p w:rsidR="00170313" w:rsidRDefault="008F64ED">
            <w:pPr>
              <w:widowControl w:val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(представитель инициаторов проекта, председатель МОО ТОС)</w:t>
            </w:r>
          </w:p>
          <w:p w:rsidR="00170313" w:rsidRDefault="008F64ED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 8-958-23-911-81</w:t>
            </w:r>
          </w:p>
          <w:p w:rsidR="00170313" w:rsidRDefault="008F64ED">
            <w:pPr>
              <w:pStyle w:val="ConsPlusNormal"/>
              <w:jc w:val="both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e-mail:e-mail</w:t>
            </w:r>
            <w:proofErr w:type="gramEnd"/>
            <w:r>
              <w:rPr>
                <w:szCs w:val="24"/>
              </w:rPr>
              <w:t>:nbperm@list.ru</w:t>
            </w:r>
            <w:proofErr w:type="spellEnd"/>
            <w:r>
              <w:rPr>
                <w:szCs w:val="24"/>
              </w:rPr>
              <w:t xml:space="preserve">   ______________________________________________________________________;</w:t>
            </w:r>
          </w:p>
          <w:p w:rsidR="00170313" w:rsidRDefault="00170313">
            <w:pPr>
              <w:pStyle w:val="ConsPlusNormal"/>
              <w:rPr>
                <w:szCs w:val="24"/>
              </w:rPr>
            </w:pPr>
          </w:p>
        </w:tc>
      </w:tr>
      <w:tr w:rsidR="00170313">
        <w:tc>
          <w:tcPr>
            <w:tcW w:w="24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0313" w:rsidRDefault="008F64ED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__________________</w:t>
            </w:r>
          </w:p>
          <w:p w:rsidR="00170313" w:rsidRDefault="008F64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79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0313" w:rsidRDefault="008F64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Барановская Анна Владимировна</w:t>
            </w:r>
          </w:p>
          <w:p w:rsidR="00170313" w:rsidRDefault="008F64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(Ф. И. О.)</w:t>
            </w:r>
          </w:p>
        </w:tc>
      </w:tr>
      <w:tr w:rsidR="00170313">
        <w:tc>
          <w:tcPr>
            <w:tcW w:w="104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0313" w:rsidRDefault="008F64ED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</w:tc>
      </w:tr>
    </w:tbl>
    <w:p w:rsidR="00170313" w:rsidRDefault="00170313">
      <w:pPr>
        <w:pStyle w:val="ConsPlusNormal"/>
        <w:jc w:val="both"/>
        <w:rPr>
          <w:szCs w:val="24"/>
        </w:rPr>
      </w:pPr>
    </w:p>
    <w:p w:rsidR="00170313" w:rsidRDefault="00170313">
      <w:pPr>
        <w:pStyle w:val="ConsPlusNormal"/>
        <w:jc w:val="both"/>
        <w:rPr>
          <w:szCs w:val="24"/>
        </w:rPr>
      </w:pPr>
    </w:p>
    <w:p w:rsidR="00170313" w:rsidRDefault="008F64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&lt;*&gt; Указывается доля софинансирования инициативного проекта </w:t>
      </w:r>
      <w:r>
        <w:rPr>
          <w:color w:val="000000"/>
          <w:sz w:val="24"/>
          <w:szCs w:val="24"/>
        </w:rPr>
        <w:t xml:space="preserve">(финансовое, имущественное и (или) трудовое участие граждан, индивидуальных предпринимателей </w:t>
      </w:r>
      <w:r>
        <w:rPr>
          <w:color w:val="000000"/>
          <w:sz w:val="24"/>
          <w:szCs w:val="24"/>
        </w:rPr>
        <w:br/>
        <w:t xml:space="preserve">и образованных в соответствии с законодательством Российской Федерации юридических лиц </w:t>
      </w:r>
      <w:r>
        <w:rPr>
          <w:color w:val="000000"/>
          <w:sz w:val="24"/>
          <w:szCs w:val="24"/>
        </w:rPr>
        <w:br/>
        <w:t>в денежном эквиваленте)</w:t>
      </w:r>
      <w:r>
        <w:rPr>
          <w:sz w:val="24"/>
          <w:szCs w:val="24"/>
        </w:rPr>
        <w:t>:</w:t>
      </w:r>
    </w:p>
    <w:p w:rsidR="00170313" w:rsidRDefault="008F64ED">
      <w:pPr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не менее 10 % </w:t>
      </w:r>
      <w:r>
        <w:rPr>
          <w:color w:val="000000"/>
          <w:sz w:val="24"/>
          <w:szCs w:val="24"/>
        </w:rPr>
        <w:t>от размера финансирования за счет с</w:t>
      </w:r>
      <w:r>
        <w:rPr>
          <w:color w:val="000000"/>
          <w:sz w:val="24"/>
          <w:szCs w:val="24"/>
        </w:rPr>
        <w:t>редств бюджета города Перми одного инициативного проекта, если такой размер финансирования не превышает 3 000 000 руб.;</w:t>
      </w:r>
    </w:p>
    <w:p w:rsidR="00170313" w:rsidRDefault="008F64ED">
      <w:pPr>
        <w:ind w:firstLine="72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 менее 15 % от всего размера финансирования за счет средств бюджета города Перми одного инициативного проекта, если такой размер финан</w:t>
      </w:r>
      <w:r>
        <w:rPr>
          <w:color w:val="000000"/>
          <w:sz w:val="24"/>
          <w:szCs w:val="24"/>
        </w:rPr>
        <w:t>сирования превышает 3 000 000 руб.</w:t>
      </w:r>
    </w:p>
    <w:p w:rsidR="00170313" w:rsidRDefault="00170313">
      <w:pPr>
        <w:pStyle w:val="ConsPlusNormal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73"/>
        <w:gridCol w:w="2249"/>
        <w:gridCol w:w="3149"/>
      </w:tblGrid>
      <w:tr w:rsidR="00170313">
        <w:tc>
          <w:tcPr>
            <w:tcW w:w="3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0313" w:rsidRDefault="00170313">
            <w:pPr>
              <w:pStyle w:val="ConsPlusNormal"/>
              <w:ind w:firstLine="540"/>
              <w:jc w:val="both"/>
            </w:pPr>
          </w:p>
        </w:tc>
        <w:tc>
          <w:tcPr>
            <w:tcW w:w="22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0313" w:rsidRDefault="00170313">
            <w:pPr>
              <w:pStyle w:val="ConsPlusNormal"/>
              <w:ind w:firstLine="540"/>
              <w:jc w:val="both"/>
            </w:pPr>
          </w:p>
        </w:tc>
        <w:tc>
          <w:tcPr>
            <w:tcW w:w="31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0313" w:rsidRDefault="00170313">
            <w:pPr>
              <w:pStyle w:val="ConsPlusNormal"/>
              <w:jc w:val="center"/>
            </w:pPr>
          </w:p>
        </w:tc>
      </w:tr>
    </w:tbl>
    <w:p w:rsidR="00170313" w:rsidRDefault="00170313">
      <w:pPr>
        <w:rPr>
          <w:sz w:val="24"/>
        </w:rPr>
      </w:pPr>
      <w:bookmarkStart w:id="1" w:name="_GoBack"/>
      <w:bookmarkEnd w:id="1"/>
    </w:p>
    <w:p w:rsidR="00170313" w:rsidRDefault="00170313">
      <w:pPr>
        <w:pStyle w:val="ConsPlusNormal"/>
        <w:jc w:val="both"/>
      </w:pPr>
    </w:p>
    <w:sectPr w:rsidR="00170313">
      <w:footerReference w:type="default" r:id="rId16"/>
      <w:footerReference w:type="first" r:id="rId17"/>
      <w:pgSz w:w="11906" w:h="16838"/>
      <w:pgMar w:top="426" w:right="566" w:bottom="1440" w:left="113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4ED" w:rsidRDefault="008F64ED">
      <w:r>
        <w:separator/>
      </w:r>
    </w:p>
  </w:endnote>
  <w:endnote w:type="continuationSeparator" w:id="0">
    <w:p w:rsidR="008F64ED" w:rsidRDefault="008F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-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313" w:rsidRDefault="00170313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170313" w:rsidRDefault="008F64E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313" w:rsidRDefault="00170313">
    <w:pPr>
      <w:pStyle w:val="ConsPlusNormal"/>
      <w:pBdr>
        <w:bottom w:val="single" w:sz="12" w:space="0" w:color="000000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4ED" w:rsidRDefault="008F64ED">
      <w:r>
        <w:separator/>
      </w:r>
    </w:p>
  </w:footnote>
  <w:footnote w:type="continuationSeparator" w:id="0">
    <w:p w:rsidR="008F64ED" w:rsidRDefault="008F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7BC9"/>
    <w:multiLevelType w:val="hybridMultilevel"/>
    <w:tmpl w:val="3A927EFC"/>
    <w:lvl w:ilvl="0" w:tplc="F39A140A">
      <w:start w:val="1"/>
      <w:numFmt w:val="decimal"/>
      <w:suff w:val="space"/>
      <w:lvlText w:val="%1."/>
      <w:lvlJc w:val="left"/>
    </w:lvl>
    <w:lvl w:ilvl="1" w:tplc="407C32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A87E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6615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0A6C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D681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D65E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C479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3CE4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644A38C7"/>
    <w:multiLevelType w:val="hybridMultilevel"/>
    <w:tmpl w:val="DB32BFAC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1DF4526"/>
    <w:multiLevelType w:val="hybridMultilevel"/>
    <w:tmpl w:val="1B340E92"/>
    <w:lvl w:ilvl="0" w:tplc="35EAB3AE">
      <w:start w:val="1"/>
      <w:numFmt w:val="decimal"/>
      <w:suff w:val="space"/>
      <w:lvlText w:val="%1."/>
      <w:lvlJc w:val="left"/>
    </w:lvl>
    <w:lvl w:ilvl="1" w:tplc="90BE6B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BE55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D6EA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AA62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74A7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4EBE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FC89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A821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13"/>
    <w:rsid w:val="00170313"/>
    <w:rsid w:val="00765A5D"/>
    <w:rsid w:val="008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632BC-91F2-4740-B7BB-7D39FCC8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endnote text"/>
    <w:basedOn w:val="a"/>
    <w:link w:val="a8"/>
    <w:uiPriority w:val="99"/>
    <w:semiHidden/>
    <w:unhideWhenUsed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7143"/>
        <w:tab w:val="right" w:pos="14287"/>
      </w:tabs>
    </w:pPr>
  </w:style>
  <w:style w:type="paragraph" w:styleId="af4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  <w:rPr>
      <w:sz w:val="24"/>
      <w:szCs w:val="24"/>
    </w:rPr>
  </w:style>
  <w:style w:type="table" w:styleId="af7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rFonts w:eastAsia="Times New Roman"/>
    </w:rPr>
  </w:style>
  <w:style w:type="character" w:customStyle="1" w:styleId="af1">
    <w:name w:val="Название Знак"/>
    <w:link w:val="af0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ae">
    <w:name w:val="Верхний колонтитул Знак"/>
    <w:link w:val="ad"/>
    <w:uiPriority w:val="99"/>
    <w:qFormat/>
  </w:style>
  <w:style w:type="character" w:customStyle="1" w:styleId="af3">
    <w:name w:val="Нижний колонтитул Знак"/>
    <w:link w:val="af2"/>
    <w:uiPriority w:val="99"/>
    <w:qFormat/>
  </w:style>
  <w:style w:type="character" w:customStyle="1" w:styleId="aa">
    <w:name w:val="Название объекта Знак"/>
    <w:link w:val="a9"/>
    <w:uiPriority w:val="35"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rFonts w:eastAsia="Times New Roman"/>
    </w:rPr>
  </w:style>
  <w:style w:type="paragraph" w:customStyle="1" w:styleId="ConsPlusNormal">
    <w:name w:val="ConsPlusNormal"/>
    <w:pPr>
      <w:widowControl w:val="0"/>
    </w:pPr>
    <w:rPr>
      <w:rFonts w:eastAsia="Times New Roman"/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eastAsia="Times New Roman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eastAsia="Times New Roman"/>
      <w:sz w:val="24"/>
    </w:rPr>
  </w:style>
  <w:style w:type="paragraph" w:customStyle="1" w:styleId="ConsPlusTextList1">
    <w:name w:val="ConsPlusTextList1"/>
    <w:pPr>
      <w:widowControl w:val="0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8F6A10B6A8C1A6939CB8E856624438EC8D846C628C3DE2CE29A0F9ACBD4980F1E84458A1D687AA3F5E4D501A7B3G" TargetMode="External"/><Relationship Id="rId13" Type="http://schemas.openxmlformats.org/officeDocument/2006/relationships/hyperlink" Target="https://vk.com/sverdlovskiyraioncommunity?w=wall-124973979_1900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vk.com/nbperm?from=group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nbperm?from=group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esti-perm.ru/publications/e3d6ad27-e347-4de2-bb33-963fc1ec21f3" TargetMode="External"/><Relationship Id="rId10" Type="http://schemas.openxmlformats.org/officeDocument/2006/relationships/hyperlink" Target="https://vesti-perm.ru/publications/e3d6ad27-e347-4de2-bb33-963fc1ec21f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3981/" TargetMode="External"/><Relationship Id="rId14" Type="http://schemas.openxmlformats.org/officeDocument/2006/relationships/hyperlink" Target="https://vk.com/tvoyswerdlovsky?w=wall-216451153_15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1933</Words>
  <Characters>11022</Characters>
  <Application>Microsoft Office Word</Application>
  <DocSecurity>0</DocSecurity>
  <Lines>91</Lines>
  <Paragraphs>25</Paragraphs>
  <ScaleCrop>false</ScaleCrop>
  <Company>КонсультантПлюс Версия 4024.00.50</Company>
  <LinksUpToDate>false</LinksUpToDate>
  <CharactersWithSpaces>12930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29.04.2019 N 135-П
(ред. от 12.02.2025)
"Об утверждении форм документов, необходимых для участия граждан в осуществлении местного самоуправления в городе Перми"</dc:title>
  <dc:creator>Anna</dc:creator>
  <cp:lastModifiedBy>Брылёв Максим Сергеевич</cp:lastModifiedBy>
  <cp:revision>11</cp:revision>
  <dcterms:created xsi:type="dcterms:W3CDTF">2025-09-18T12:25:00Z</dcterms:created>
  <dcterms:modified xsi:type="dcterms:W3CDTF">2025-10-30T05:10:00Z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17370F061C834612A687856DFC1B6DA1_13</vt:lpwstr>
  </property>
</Properties>
</file>