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Инициативный проект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9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en-US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89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1. Наименование инициативного проекта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: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896"/>
        <w:jc w:val="center"/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Обустройство уличной сцены «Поющий сквер» для проведения культурно – массовых мероприятий для жителей Свердловского района города Перми»</w:t>
      </w: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</w:p>
    <w:p>
      <w:pPr>
        <w:pStyle w:val="896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pStyle w:val="89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2. Сведения о видах источников софинанс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ирования инициативного проекта: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691"/>
        <w:gridCol w:w="3969"/>
        <w:gridCol w:w="1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1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Наименование источника финансирования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Софинансирование инициативного проекта, руб. (буквенное обозначение переменной в формуле)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Формула расчета, %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1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1" w:type="dxa"/>
            <w:vAlign w:val="top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705 899,44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15,01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1" w:type="dxa"/>
            <w:vAlign w:val="top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финансовое, имущественное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7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 (или) трудовое участие граждан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7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денежном эквиваленте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1" w:type="dxa"/>
            <w:vAlign w:val="top"/>
            <w:textDirection w:val="lrTb"/>
            <w:noWrap w:val="false"/>
          </w:tcPr>
          <w:p>
            <w:pPr>
              <w:pStyle w:val="7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финансовое, имущественное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7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 (или) трудовое участие индивидуальных предпринимателей и 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образованных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7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соответствии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7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с законодательством Российской Федерации юридических лиц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7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денежном эквиваленте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705 899,44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  <w:p>
            <w:pPr>
              <w:pStyle w:val="896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1" w:type="dxa"/>
            <w:vAlign w:val="top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Доля софинансирования инициативного проекта из бюджета города Перми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3 996 482,75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84,99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1" w:type="dxa"/>
            <w:vAlign w:val="top"/>
            <w:textDirection w:val="lrTb"/>
            <w:noWrap w:val="false"/>
          </w:tcPr>
          <w:p>
            <w:pPr>
              <w:pStyle w:val="8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ИТОГО (общая стоимость инициативного проекта)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4 702 382, 19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89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tbl>
      <w:tblPr>
        <w:tblW w:w="0" w:type="auto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70"/>
        <w:gridCol w:w="7353"/>
      </w:tblGrid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896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3. Сведения об инициаторе инициативного проекта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(необходимо выбрать только один из предложенных вариантов)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ерриториальное общественное самоуправление (далее - ТОС)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естная обществен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ая организация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Территориальное общественное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самоуправление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«Сибирский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микрорайона Центральный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(да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лее – МОО ТОС «Сибирский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4. Территория города Перми или его часть, в границах которой будет реализация инициативного проекта: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 территории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микрорайона Центральный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Свердловского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г. Перми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сквере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«Желаний» около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shd w:val="clear" w:color="auto" w:fill="ffffff"/>
              </w:rPr>
              <w:t xml:space="preserve">административного здания ул. Сибирская, д.67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5. Сроки реализации инициативного проекта: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 15 декабря 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26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6. Наименование вопроса местного значения в соответствии с Федеральным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instrText xml:space="preserve">HYPERLINK "consultantplus://offline/ref=0B58F6A10B6A8C1A6939CB8E856624438EC8D846C628C3DE2CE29A0F9ACBD4980F1E84458A1D687AA3F5E4D501A7B3G"</w:instrTex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законом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от 6 октября 2003 года N 131-ФЗ "Об общих принципах организации 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соответствии с действующим законодательством: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Федеральным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HYPERLINK "consultantplus://offline/ref=0B58F6A10B6A8C1A6939CB8E856624438EC8D846C628C3DE2CE29A0F9ACBD4980F1E84458A1D687AA3F5E4D501A7B3G"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законом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от 6 октября 2003 года N 131-ФЗ "Об общих принципах организации местного самоуправления в Российской Федерации"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Статья 16. «Вопросы местно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го значения городского округа».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Пункт 17: «Создание условий для организации досуга и обеспечения жителей муниципального, городского округа услугами организаций культуры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Описание инициативного проекта: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Проблема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Организация культурно-досуговой деятельности населения является одной из главных задач, которые стоят перед современным обществом.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Культура - как часть жизни нашего общества не может быть застывшей, законсервированной. Она должна развиваться в соответствии с потребностями времени и запросами людей, наполняться новыми, свежими идеями.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От этого напрямую зависит нравственное здоровье, 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орально-психологический климат населения,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который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В Свердловском районе города Перми достаточное количество учреждений культуры, но пользуются спросом и востребованы уличные культурно – массовые мероприятия.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Так, в районе на протяжении последних 5 лет в сквере «Желаний», расположенном по адресу: ул. Сибирская, д.67 проходят праздничные творчес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кие мероприятия под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названием «Поющий сквер», приуроченных к празднованию Дня России и Дня города.  Мероприятия посещают достаточно большое количество населения, учитывая значимость мероприятия и месторасположение концертной площадки, которая находится в самом центре района.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Учитывая значимость мероприятий и востребованность возникла острая необходимость установки в сквере «Желаний» уличной сцены с необходимым оборудованием, зрительными местами.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Установка уличной сцены в сквере послужит не только качественному проведению культурно – массовых мероприятий для жителей района, но 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развитию творческих инициатив, реализации культурных проектов, формирования комфортной среды и культурного просвещения жителей.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Кроме этого, при наличие сцены, культурно – массовые мероприятия в сквере можно будет проводить в любое время года и погодных условиях.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t xml:space="preserve">Проект имеет высокую степень актуальности социальную значимость для жителей Свердловского района города Перми, а именно: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-у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стройство уличной сцены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 позволит улучить качество проведения культурно – массовых мероприятий для жителей района;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-устройство уличной сцены послужит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по-новому воплотить творческий потенциал профессиональных и самодеятельных коллективов района, в том числе детских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  <w:t xml:space="preserve"> коллективов;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стройство уличной сцены позволит увеличить количество культурно – массовых мероприятий в районе, что будет способствовать культурному просвещению жителей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стройство уличной сцены послужит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созданию единого пространства для для отдыха, досуга, развлечений для всех возрастных групп жителей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стройство уличной сцены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 будет способствовать развитию комфортной городской среды.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96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  <w:t xml:space="preserve">Решение описанной проблемы в рамках инициативного проекта приведёт к улучшению качества жизни жителей Свердловского района города Перми.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</w:r>
          </w:p>
          <w:p>
            <w:pPr>
              <w:pStyle w:val="896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shd w:val="clear" w:color="auto" w:fill="ffffff"/>
              </w:rPr>
              <w:t xml:space="preserve">Созда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shd w:val="clear" w:color="auto" w:fill="ffffff"/>
              </w:rPr>
              <w:t xml:space="preserve">ние обустроенной уличной сцены в сквере «Желаний» в районе административного здания ул. Сибирская, д.67 для проведения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культурно – массовых мероприятий для жителей Свердловского район, развитие творческих инициатив, реализации культурных проектов, формирования комфортной среды и культурного просвещения жителей.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Задачи: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Подготовить площадку для размещения уличной сцены.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 Закупить необходимое оборудование для обустройства уличной сцены со сценическим оснащением для проведения культурно – массовых мероприятий.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 Закупить лавочки для размещения зрителей.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 Осветить ход исполнения и результат заявки в информационном пространстве.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Предполагаемые р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езультаты: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highlight w:val="none"/>
              </w:rPr>
              <w:t xml:space="preserve">.Обустройство уличной сцены по видам работ, предусмотренных локально – сметным расчётом.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r>
          </w:p>
          <w:tbl>
            <w:tblPr>
              <w:tblW w:w="9769" w:type="dxa"/>
              <w:tblInd w:w="1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9769"/>
            </w:tblGrid>
            <w:tr>
              <w:tblPrEx/>
              <w:trPr>
                <w:trHeight w:val="390"/>
              </w:trPr>
              <w:tc>
                <w:tcPr>
                  <w:tcBorders>
                    <w:top w:val="none" w:color="FFFFFF" w:sz="255" w:space="0"/>
                    <w:left w:val="none" w:color="FFFFFF" w:sz="255" w:space="0"/>
                    <w:bottom w:val="single" w:color="000000" w:sz="8" w:space="0"/>
                    <w:right w:val="single" w:color="000000" w:sz="8" w:space="0"/>
                  </w:tcBorders>
                  <w:tcW w:w="9769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ind w:left="709" w:firstLine="0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  <w:t xml:space="preserve">1.1 Подготовка территории для обустройства уличной сцены (демонтажные работы).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96"/>
                    <w:ind w:left="709" w:firstLine="0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  <w:t xml:space="preserve">1.2. 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  <w:t xml:space="preserve">Устройство фундамента (бетонной плиты).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96"/>
                    <w:ind w:left="709" w:firstLine="0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  <w:t xml:space="preserve">1.3. 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  <w:t xml:space="preserve">Устройство фундамента под арку сцены.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96"/>
                    <w:ind w:left="709" w:firstLine="0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  <w:t xml:space="preserve">1.4. 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  <w:t xml:space="preserve">Монтаж металлоконструкций для сцены.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96"/>
                    <w:ind w:left="709" w:firstLine="0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  <w:t xml:space="preserve">1.5. 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  <w:t xml:space="preserve">Отделочные работы по обустройству сцены.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</w:r>
                </w:p>
                <w:p>
                  <w:pPr>
                    <w:pStyle w:val="896"/>
                    <w:ind w:left="709" w:firstLine="0"/>
                    <w:jc w:val="both"/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  <w:highlight w:val="none"/>
                    </w:rPr>
                    <w:t xml:space="preserve">1.6. Благоустройство прилегающей к сцене территории.</w:t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color w:val="auto"/>
                      <w:sz w:val="26"/>
                      <w:szCs w:val="26"/>
                    </w:rPr>
                  </w:r>
                </w:p>
                <w:p>
                  <w:pPr>
                    <w:pStyle w:val="896"/>
                    <w:jc w:val="both"/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r>
                  <w:r>
                    <w:rPr>
                      <w:rFonts w:ascii="Times New Roman" w:hAnsi="Times New Roman" w:cs="Times New Roman"/>
                      <w:color w:val="ff0000"/>
                      <w:sz w:val="26"/>
                      <w:szCs w:val="26"/>
                    </w:rPr>
                  </w:r>
                </w:p>
              </w:tc>
            </w:tr>
          </w:tbl>
          <w:p>
            <w:pPr>
              <w:pStyle w:val="896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2. Освещение хода и результатов инициативного проекта в информационном пространстве.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8. Сведения о расчетах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на ре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ализацию инициативного проекта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en-US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унифицированная форма локально-сметного расчета;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. Сведения, необходимые для оценки инициативного проекта при проведении конкурсного отбора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проекта (далее - видеозапись):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V -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наличие видеозаписи (приобщена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к проекту на электронном носителе).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9.2. Перечень информационных каналов по продвижению инициативного проекта среди граждан: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9.2.1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нформационные стенды (листовки, объявления, брошюры, буклеты)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Информационные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стенд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ы общественного центра «Центральный», администрации Свердловского района города Перми.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ри наличии к проекту необходимо приложить копии документов, размещенных на информационных стендах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и фото информационных стендов, на которых она размещена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9.2.2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публикация статей (заметок) в тираже или части тиража отдельного 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ера 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периодического печатного издания).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СМИ 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 сайт администрации района.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  <w:t xml:space="preserve">9.2.3 социальные сети: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группы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социальной сети «ВКонтакте»: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«Общественность Свердловского района»;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https://vk.com/wall-124973979_18961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«ТОС Сибирский»;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https://vk.com/wall-190934030_1124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«Администрация Свердловского района» - телеграмм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(при наличии необходимо указать ссылку на материалы,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опубликованные в социальных сетях, к проекту необходимо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приложить скриншот материалов, опубликованных в социальных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сетях)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Сведения об инициаторе проекта: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МОО ТОС «Сибирский» микрорайона Центральный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Свердловского рай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она г. Перми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кон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тактный телефон: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  <w:t xml:space="preserve">8 908 242 07 91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896"/>
              <w:jc w:val="both"/>
              <w:rPr>
                <w:rStyle w:val="887"/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en-US"/>
              </w:rPr>
            </w:r>
            <w:hyperlink r:id="rId10" w:tooltip="http://tosibiria@mail.ru" w:history="1">
              <w:r>
                <w:rPr>
                  <w:rStyle w:val="887"/>
                  <w:rFonts w:ascii="Times New Roman" w:hAnsi="Times New Roman" w:eastAsia="Times New Roman" w:cs="Times New Roman"/>
                  <w:sz w:val="26"/>
                  <w:szCs w:val="26"/>
                  <w:lang w:eastAsia="en-US"/>
                </w:rPr>
                <w:t xml:space="preserve">tosibiria@mail.ru</w:t>
              </w:r>
              <w:r>
                <w:rPr>
                  <w:rStyle w:val="887"/>
                  <w:rFonts w:ascii="Times New Roman" w:hAnsi="Times New Roman" w:cs="Times New Roman"/>
                  <w:sz w:val="26"/>
                  <w:szCs w:val="26"/>
                </w:rPr>
              </w:r>
              <w:r>
                <w:rPr>
                  <w:rStyle w:val="887"/>
                  <w:rFonts w:ascii="Times New Roman" w:hAnsi="Times New Roman" w:eastAsia="Times New Roman" w:cs="Times New Roman"/>
                  <w:sz w:val="26"/>
                  <w:szCs w:val="26"/>
                  <w:highlight w:val="none"/>
                  <w:lang w:eastAsia="en-US"/>
                </w:rPr>
              </w:r>
            </w:hyperlink>
            <w:r>
              <w:rPr>
                <w:rStyle w:val="887"/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en-US"/>
              </w:rPr>
            </w:r>
            <w:r>
              <w:rPr>
                <w:rStyle w:val="887"/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en-US"/>
              </w:rPr>
            </w:r>
          </w:p>
          <w:p>
            <w:pPr>
              <w:pStyle w:val="8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en-US"/>
              </w:rPr>
              <w:t xml:space="preserve">                                                                                    _______________            /Юдина Н.Г./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70" w:type="dxa"/>
            <w:vAlign w:val="top"/>
            <w:textDirection w:val="lrTb"/>
            <w:noWrap w:val="false"/>
          </w:tcPr>
          <w:p>
            <w:pPr>
              <w:pStyle w:val="88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353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(подпись)                                ФИО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  <w:r>
              <w:rPr>
                <w:rFonts w:ascii="Times New Roman" w:hAnsi="Times New Roman"/>
                <w:bCs/>
                <w:sz w:val="26"/>
                <w:szCs w:val="26"/>
              </w:rPr>
            </w:r>
          </w:p>
        </w:tc>
      </w:tr>
    </w:tbl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&lt;*&gt; Указывается доля софинансирования инициативного проекта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образованных в соответствии с законодательством Российской Федерации юридических лиц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/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денежном эквиваленте)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менее 10 %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jc w:val="both"/>
      </w:pPr>
      <w:r/>
      <w:r/>
    </w:p>
    <w:p>
      <w:pPr>
        <w:pStyle w:val="888"/>
        <w:jc w:val="both"/>
      </w:pPr>
      <w:r/>
      <w:r/>
    </w:p>
    <w:p>
      <w:pPr>
        <w:pStyle w:val="8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erReference w:type="default" r:id="rId9"/>
      <w:footnotePr/>
      <w:endnotePr/>
      <w:type w:val="nextPage"/>
      <w:pgSz w:w="11900" w:h="16820" w:orient="portrait"/>
      <w:pgMar w:top="1134" w:right="567" w:bottom="1134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9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881">
    <w:name w:val="Заголовок 2"/>
    <w:basedOn w:val="880"/>
    <w:next w:val="881"/>
    <w:link w:val="90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val="en-US" w:eastAsia="en-US"/>
    </w:rPr>
  </w:style>
  <w:style w:type="character" w:styleId="882">
    <w:name w:val="Основной шрифт абзаца"/>
    <w:next w:val="882"/>
    <w:link w:val="880"/>
    <w:uiPriority w:val="1"/>
    <w:unhideWhenUsed/>
  </w:style>
  <w:style w:type="table" w:styleId="883">
    <w:name w:val="Обычная таблица"/>
    <w:next w:val="883"/>
    <w:link w:val="880"/>
    <w:uiPriority w:val="99"/>
    <w:semiHidden/>
    <w:unhideWhenUsed/>
    <w:qFormat/>
    <w:tblPr/>
  </w:style>
  <w:style w:type="numbering" w:styleId="884">
    <w:name w:val="Нет списка"/>
    <w:next w:val="884"/>
    <w:link w:val="880"/>
    <w:uiPriority w:val="99"/>
    <w:semiHidden/>
    <w:unhideWhenUsed/>
  </w:style>
  <w:style w:type="paragraph" w:styleId="885">
    <w:name w:val="Текст выноски"/>
    <w:basedOn w:val="880"/>
    <w:next w:val="885"/>
    <w:link w:val="88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86">
    <w:name w:val="Текст выноски Знак"/>
    <w:next w:val="886"/>
    <w:link w:val="885"/>
    <w:uiPriority w:val="99"/>
    <w:semiHidden/>
    <w:rPr>
      <w:rFonts w:ascii="Tahoma" w:hAnsi="Tahoma" w:cs="Tahoma"/>
      <w:sz w:val="16"/>
      <w:szCs w:val="16"/>
    </w:rPr>
  </w:style>
  <w:style w:type="character" w:styleId="887">
    <w:name w:val="Гиперссылка"/>
    <w:next w:val="887"/>
    <w:link w:val="880"/>
    <w:uiPriority w:val="99"/>
    <w:unhideWhenUsed/>
    <w:rPr>
      <w:color w:val="0563c1"/>
      <w:u w:val="single"/>
    </w:rPr>
  </w:style>
  <w:style w:type="paragraph" w:styleId="888">
    <w:name w:val="ConsPlusNormal"/>
    <w:next w:val="888"/>
    <w:link w:val="88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89">
    <w:name w:val="ConsPlusNonformat"/>
    <w:next w:val="889"/>
    <w:link w:val="88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0">
    <w:name w:val="Верхний колонтитул"/>
    <w:basedOn w:val="880"/>
    <w:next w:val="890"/>
    <w:link w:val="891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1">
    <w:name w:val="Верхний колонтитул Знак"/>
    <w:next w:val="891"/>
    <w:link w:val="890"/>
    <w:uiPriority w:val="99"/>
    <w:semiHidden/>
    <w:rPr>
      <w:sz w:val="22"/>
      <w:szCs w:val="22"/>
      <w:lang w:eastAsia="en-US"/>
    </w:rPr>
  </w:style>
  <w:style w:type="paragraph" w:styleId="892">
    <w:name w:val="Нижний колонтитул"/>
    <w:basedOn w:val="880"/>
    <w:next w:val="892"/>
    <w:link w:val="89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3">
    <w:name w:val="Нижний колонтитул Знак"/>
    <w:next w:val="893"/>
    <w:link w:val="892"/>
    <w:uiPriority w:val="99"/>
    <w:rPr>
      <w:sz w:val="22"/>
      <w:szCs w:val="22"/>
      <w:lang w:eastAsia="en-US"/>
    </w:rPr>
  </w:style>
  <w:style w:type="character" w:styleId="894">
    <w:name w:val="Body text (2)_"/>
    <w:next w:val="894"/>
    <w:link w:val="895"/>
    <w:rPr>
      <w:rFonts w:ascii="Times New Roman" w:hAnsi="Times New Roman"/>
      <w:sz w:val="28"/>
      <w:szCs w:val="28"/>
      <w:shd w:val="clear" w:color="auto" w:fill="ffffff"/>
    </w:rPr>
  </w:style>
  <w:style w:type="paragraph" w:styleId="895">
    <w:name w:val="Body text (2)"/>
    <w:basedOn w:val="880"/>
    <w:next w:val="895"/>
    <w:link w:val="894"/>
    <w:pPr>
      <w:jc w:val="right"/>
      <w:spacing w:after="60" w:line="241" w:lineRule="exact"/>
      <w:shd w:val="clear" w:color="auto" w:fill="ffffff"/>
      <w:widowControl w:val="off"/>
    </w:pPr>
    <w:rPr>
      <w:rFonts w:ascii="Times New Roman" w:hAnsi="Times New Roman"/>
      <w:sz w:val="28"/>
      <w:szCs w:val="28"/>
      <w:lang w:val="en-US" w:eastAsia="en-US"/>
    </w:rPr>
  </w:style>
  <w:style w:type="paragraph" w:styleId="896">
    <w:name w:val="Без интервала"/>
    <w:next w:val="896"/>
    <w:link w:val="880"/>
    <w:uiPriority w:val="1"/>
    <w:qFormat/>
    <w:rPr>
      <w:sz w:val="22"/>
      <w:szCs w:val="22"/>
      <w:lang w:val="ru-RU" w:eastAsia="en-US" w:bidi="ar-SA"/>
    </w:rPr>
  </w:style>
  <w:style w:type="table" w:styleId="897">
    <w:name w:val="Сетка таблицы"/>
    <w:basedOn w:val="883"/>
    <w:next w:val="897"/>
    <w:link w:val="880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898">
    <w:name w:val="Основной текст"/>
    <w:basedOn w:val="880"/>
    <w:next w:val="898"/>
    <w:link w:val="899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899">
    <w:name w:val="Основной текст Знак"/>
    <w:next w:val="899"/>
    <w:link w:val="898"/>
    <w:rPr>
      <w:rFonts w:ascii="Times New Roman" w:hAnsi="Times New Roman" w:eastAsia="Times New Roman"/>
      <w:sz w:val="24"/>
      <w:szCs w:val="24"/>
    </w:rPr>
  </w:style>
  <w:style w:type="character" w:styleId="900">
    <w:name w:val="Заголовок 2 Знак"/>
    <w:next w:val="900"/>
    <w:link w:val="881"/>
    <w:uiPriority w:val="9"/>
    <w:rPr>
      <w:rFonts w:ascii="Times New Roman" w:hAnsi="Times New Roman" w:eastAsia="Times New Roman"/>
      <w:b/>
      <w:bCs/>
      <w:sz w:val="36"/>
      <w:szCs w:val="36"/>
    </w:rPr>
  </w:style>
  <w:style w:type="paragraph" w:styleId="901">
    <w:name w:val="Default"/>
    <w:next w:val="901"/>
    <w:link w:val="880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tosibiria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Полушина Наталья Александровна</dc:creator>
  <cp:revision>50</cp:revision>
  <dcterms:created xsi:type="dcterms:W3CDTF">2023-02-03T06:41:00Z</dcterms:created>
  <dcterms:modified xsi:type="dcterms:W3CDTF">2025-10-28T11:00:21Z</dcterms:modified>
  <cp:version>1048576</cp:version>
</cp:coreProperties>
</file>