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CA" w:rsidRDefault="0077648E">
      <w:pPr>
        <w:pStyle w:val="ConsPlusNormal"/>
        <w:jc w:val="center"/>
      </w:pPr>
      <w:r>
        <w:t>Инициативный проект</w:t>
      </w:r>
    </w:p>
    <w:p w:rsidR="005A6ACA" w:rsidRDefault="005A6ACA">
      <w:pPr>
        <w:pStyle w:val="ConsPlusNormal"/>
        <w:jc w:val="both"/>
        <w:outlineLvl w:val="0"/>
      </w:pPr>
    </w:p>
    <w:p w:rsidR="005A6ACA" w:rsidRDefault="0077648E">
      <w:pPr>
        <w:pStyle w:val="ConsPlusNormal"/>
        <w:jc w:val="both"/>
      </w:pPr>
      <w:r>
        <w:t>1. Наименование инициативного проекта:</w:t>
      </w:r>
    </w:p>
    <w:p w:rsidR="005A6ACA" w:rsidRDefault="00626029">
      <w:pPr>
        <w:pStyle w:val="ConsPlusNormal"/>
        <w:spacing w:before="240"/>
        <w:jc w:val="both"/>
      </w:pPr>
      <w:r>
        <w:t>Сквер «</w:t>
      </w:r>
      <w:r w:rsidR="0077648E">
        <w:t>За Камой</w:t>
      </w:r>
      <w:r>
        <w:t>»</w:t>
      </w:r>
      <w:r w:rsidR="0077648E">
        <w:t>.</w:t>
      </w:r>
    </w:p>
    <w:p w:rsidR="005A6ACA" w:rsidRDefault="005A6ACA">
      <w:pPr>
        <w:pStyle w:val="ConsPlusNormal"/>
        <w:jc w:val="both"/>
      </w:pPr>
    </w:p>
    <w:p w:rsidR="005A6ACA" w:rsidRDefault="0077648E">
      <w:pPr>
        <w:pStyle w:val="ConsPlusNormal"/>
        <w:shd w:val="clear" w:color="FFFFFF" w:themeColor="background1" w:fill="FFFFFF" w:themeFill="background1"/>
        <w:jc w:val="both"/>
        <w:rPr>
          <w:highlight w:val="white"/>
        </w:rPr>
      </w:pPr>
      <w:r>
        <w:rPr>
          <w:highlight w:val="white"/>
          <w:shd w:val="clear" w:color="FFFFFF" w:themeColor="background1" w:fill="FFFFFF" w:themeFill="background1"/>
        </w:rPr>
        <w:t>2. Сведения о видах источников софинансирования инициативного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jc w:val="center"/>
            </w:pPr>
            <w:r>
              <w:t>Наименование источника финансирования</w:t>
            </w:r>
          </w:p>
        </w:tc>
        <w:tc>
          <w:tcPr>
            <w:tcW w:w="2154" w:type="dxa"/>
          </w:tcPr>
          <w:p w:rsidR="005A6ACA" w:rsidRDefault="0077648E">
            <w:pPr>
              <w:pStyle w:val="ConsPlusNormal"/>
              <w:jc w:val="center"/>
            </w:pPr>
            <w: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5A6ACA" w:rsidRDefault="0077648E">
            <w:pPr>
              <w:pStyle w:val="ConsPlusNormal"/>
              <w:jc w:val="center"/>
            </w:pPr>
            <w:r>
              <w:t>Формула расчета, %</w:t>
            </w:r>
          </w:p>
        </w:tc>
      </w:tr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5A6ACA" w:rsidRDefault="007764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5A6ACA" w:rsidRDefault="0077648E">
            <w:pPr>
              <w:pStyle w:val="ConsPlusNormal"/>
              <w:jc w:val="center"/>
            </w:pPr>
            <w:r>
              <w:t>4</w:t>
            </w:r>
          </w:p>
        </w:tc>
      </w:tr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</w:rPr>
              <w:t>80153 руб.</w:t>
            </w:r>
          </w:p>
        </w:tc>
        <w:tc>
          <w:tcPr>
            <w:tcW w:w="3061" w:type="dxa"/>
          </w:tcPr>
          <w:p w:rsidR="005A6ACA" w:rsidRDefault="00626029" w:rsidP="00626029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15 %</w:t>
            </w:r>
            <w:bookmarkStart w:id="0" w:name="_GoBack"/>
            <w:bookmarkEnd w:id="0"/>
          </w:p>
        </w:tc>
      </w:tr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финансовое, имущественное </w:t>
            </w:r>
          </w:p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 (или) трудовое участие граждан </w:t>
            </w:r>
          </w:p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5A6ACA" w:rsidRDefault="0077648E" w:rsidP="00626029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</w:rPr>
              <w:t>80153 руб.</w:t>
            </w:r>
          </w:p>
        </w:tc>
        <w:tc>
          <w:tcPr>
            <w:tcW w:w="3061" w:type="dxa"/>
          </w:tcPr>
          <w:p w:rsidR="005A6ACA" w:rsidRDefault="00626029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15%</w:t>
            </w:r>
          </w:p>
        </w:tc>
      </w:tr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финансовое, имущественное </w:t>
            </w:r>
          </w:p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 (или) трудовое участие индивидуальных предпринимателей и </w:t>
            </w:r>
            <w:bookmarkStart w:id="1" w:name="undefined"/>
            <w:bookmarkEnd w:id="1"/>
            <w:r>
              <w:rPr>
                <w:color w:val="000000"/>
                <w:szCs w:val="24"/>
              </w:rPr>
              <w:t xml:space="preserve">образованных </w:t>
            </w:r>
          </w:p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 соответствии </w:t>
            </w:r>
          </w:p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5A6ACA" w:rsidRDefault="005A6ACA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</w:p>
        </w:tc>
        <w:tc>
          <w:tcPr>
            <w:tcW w:w="3061" w:type="dxa"/>
          </w:tcPr>
          <w:p w:rsidR="005A6ACA" w:rsidRDefault="005A6ACA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</w:p>
        </w:tc>
      </w:tr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287533</w:t>
            </w:r>
          </w:p>
        </w:tc>
        <w:tc>
          <w:tcPr>
            <w:tcW w:w="3061" w:type="dxa"/>
          </w:tcPr>
          <w:p w:rsidR="00626029" w:rsidRDefault="00626029" w:rsidP="00626029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  <w:r>
              <w:rPr>
                <w:szCs w:val="24"/>
              </w:rPr>
              <w:t>85 %</w:t>
            </w:r>
          </w:p>
          <w:p w:rsidR="005A6ACA" w:rsidRDefault="005A6ACA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</w:p>
        </w:tc>
      </w:tr>
      <w:tr w:rsidR="005A6ACA">
        <w:tc>
          <w:tcPr>
            <w:tcW w:w="624" w:type="dxa"/>
          </w:tcPr>
          <w:p w:rsidR="005A6ACA" w:rsidRDefault="007764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31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Cs w:val="24"/>
              </w:rPr>
            </w:pPr>
            <w:r>
              <w:rPr>
                <w:color w:val="000000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5A6ACA" w:rsidRDefault="0077648E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t>3867686 руб.</w:t>
            </w:r>
          </w:p>
        </w:tc>
        <w:tc>
          <w:tcPr>
            <w:tcW w:w="3061" w:type="dxa"/>
          </w:tcPr>
          <w:p w:rsidR="005A6ACA" w:rsidRDefault="005A6ACA" w:rsidP="00626029">
            <w:pPr>
              <w:pStyle w:val="ConsPlusNormal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4"/>
              </w:rPr>
            </w:pPr>
          </w:p>
        </w:tc>
      </w:tr>
    </w:tbl>
    <w:p w:rsidR="005A6ACA" w:rsidRDefault="005A6ACA">
      <w:pPr>
        <w:pStyle w:val="ConsPlusNormal"/>
        <w:jc w:val="both"/>
      </w:pPr>
    </w:p>
    <w:p w:rsidR="005A6ACA" w:rsidRDefault="005A6AC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5A6ACA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6ACA" w:rsidRDefault="0077648E">
            <w:pPr>
              <w:pStyle w:val="ConsPlusNormal"/>
              <w:ind w:firstLine="283"/>
              <w:jc w:val="both"/>
            </w:pPr>
            <w: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5A6ACA" w:rsidRDefault="005A6ACA">
            <w:pPr>
              <w:pStyle w:val="ConsPlusNormal"/>
              <w:ind w:firstLine="283"/>
              <w:jc w:val="both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rPr>
                <w:position w:val="-3"/>
              </w:rPr>
              <w:t>МОО ТОС “Средняя Курья”</w:t>
            </w:r>
          </w:p>
          <w:p w:rsidR="005A6ACA" w:rsidRDefault="0077648E">
            <w:pPr>
              <w:pStyle w:val="ConsPlusNormal"/>
              <w:jc w:val="both"/>
            </w:pPr>
            <w:r>
              <w:t>________________________________________________________________________.</w:t>
            </w:r>
          </w:p>
          <w:p w:rsidR="005A6ACA" w:rsidRDefault="0077648E">
            <w:pPr>
              <w:pStyle w:val="ConsPlusNormal"/>
              <w:jc w:val="center"/>
            </w:pPr>
            <w:r>
              <w:t>(наименование ТОС)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4. Территория города Перми или его часть, в границах которой будет реализация инициативного проекта: г.Пермь, Ленинский район, ул.Борцов революции, 153 а</w:t>
            </w:r>
          </w:p>
          <w:p w:rsidR="005A6ACA" w:rsidRDefault="0077648E">
            <w:pPr>
              <w:pStyle w:val="ConsPlusNormal"/>
              <w:jc w:val="both"/>
            </w:pPr>
            <w:r>
              <w:t>________</w:t>
            </w:r>
            <w:r>
              <w:t>________________________________________________________________.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5. Сроки реализации инициативного проектадо 15 декабря 2025 года.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6. Наименование вопроса местного значения в соответствии с Федеральным законом от 6 октября 2003 года N 131-ФЗ "Об общих п</w:t>
            </w:r>
            <w:r>
              <w:t>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 благоустройство пространства Сквера “За Камой”, соз</w:t>
            </w:r>
            <w:r>
              <w:t>дание пространства для отдыха жителей Средней Курьи</w:t>
            </w:r>
          </w:p>
          <w:p w:rsidR="005A6ACA" w:rsidRDefault="0077648E">
            <w:pPr>
              <w:pStyle w:val="ConsPlusNormal"/>
              <w:jc w:val="both"/>
            </w:pPr>
            <w:r>
              <w:t>________________________________________________________________________.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7. Описание инициативного проекта:обустройство сквера “За Камой” возле общественного центра на части земельного участка по ул.Бор</w:t>
            </w:r>
            <w:r>
              <w:t>цов революции,153 а. Обустройство сквера создаст комфортную зону для отдыха граждан. На сегодняшний момент на испрашиваемой территории заброшенный участок. На 2026 год запланировано развитие воркаут-площадки: обустройство одноуровневой рампы со спайном и х</w:t>
            </w:r>
            <w:r>
              <w:t>ипом на деревянном каркасе. В дальнейшем планируетсяна данной территории устройство газонов, посадка саженцев лиственных деревьев и кустарников, возведение малых-архитектурных форм: скамеек, вазонов; проведение освещения. Для привлечения на территорию пред</w:t>
            </w:r>
            <w:r>
              <w:t>принимателей- планируется установка ярморочных домиков. Также по территории сквера будут возведены пешеходные дорожки из деревянного настила.</w:t>
            </w:r>
          </w:p>
          <w:p w:rsidR="005A6ACA" w:rsidRDefault="0077648E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5A6ACA" w:rsidRDefault="0077648E">
            <w:pPr>
              <w:pStyle w:val="ConsPlusNormal"/>
              <w:jc w:val="center"/>
            </w:pPr>
            <w:r>
              <w:t>(описать проблему и ее актуальность, указать цель и задачи инициативного проекта,</w:t>
            </w:r>
          </w:p>
          <w:p w:rsidR="005A6ACA" w:rsidRDefault="0077648E">
            <w:pPr>
              <w:pStyle w:val="ConsPlusNormal"/>
              <w:jc w:val="center"/>
            </w:pPr>
            <w:r>
              <w:t>ожидаемые результаты реализации инициативного проекта)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8. Сведения о расчетах расходов на реализацию инициативного проекта: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768847" name="Picture 1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унифицированная форма локально-сметного расчет</w:t>
            </w:r>
            <w:r>
              <w:t>а;</w:t>
            </w: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590969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смета расходов на приобретение товаров / оказание услуг.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9. Сведения, необходимые для оценки инициативного проекта при проведении конкурсного отбора:</w:t>
            </w: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 xml:space="preserve"> наличие видеозаписи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9.2. Перече</w:t>
            </w:r>
            <w:r>
              <w:t>нь информационных каналов по продвижению инициативного проекта среди граждан:</w:t>
            </w:r>
          </w:p>
          <w:p w:rsidR="005A6ACA" w:rsidRDefault="0077648E">
            <w:pPr>
              <w:pStyle w:val="ConsPlusNormal"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https://vk.com/sredn2012;</w:t>
            </w:r>
          </w:p>
          <w:p w:rsidR="005A6ACA" w:rsidRDefault="0077648E">
            <w:pPr>
              <w:pStyle w:val="ConsPlusNormal"/>
              <w:jc w:val="center"/>
            </w:pPr>
            <w:r>
              <w:t>(при наличии необходимо указать ссылку на отдельный выпуск</w:t>
            </w:r>
          </w:p>
          <w:p w:rsidR="005A6ACA" w:rsidRDefault="0077648E">
            <w:pPr>
              <w:pStyle w:val="ConsPlusNormal"/>
              <w:jc w:val="center"/>
            </w:pPr>
            <w:r>
              <w:t>либо обновление сетевого издания, к проекту необходимо</w:t>
            </w:r>
          </w:p>
          <w:p w:rsidR="005A6ACA" w:rsidRDefault="0077648E">
            <w:pPr>
              <w:pStyle w:val="ConsPlusNormal"/>
              <w:jc w:val="center"/>
            </w:pPr>
            <w:r>
              <w:t>приложить скриншот материалов, опублик</w:t>
            </w:r>
            <w:r>
              <w:t>ованных в отдельном</w:t>
            </w:r>
          </w:p>
          <w:p w:rsidR="005A6ACA" w:rsidRDefault="0077648E">
            <w:pPr>
              <w:pStyle w:val="ConsPlusNormal"/>
              <w:jc w:val="center"/>
            </w:pPr>
            <w:r>
              <w:t>выпуске либо обновлении сетевого издания)</w:t>
            </w:r>
          </w:p>
          <w:p w:rsidR="005A6ACA" w:rsidRDefault="005A6ACA">
            <w:pPr>
              <w:pStyle w:val="ConsPlusNormal"/>
            </w:pPr>
          </w:p>
          <w:p w:rsidR="005A6ACA" w:rsidRDefault="0077648E">
            <w:pPr>
              <w:pStyle w:val="ConsPlusNormal"/>
              <w:ind w:firstLine="283"/>
              <w:jc w:val="both"/>
            </w:pPr>
            <w:r>
              <w:t>Сведения об инициаторе проекта:</w:t>
            </w:r>
          </w:p>
          <w:p w:rsidR="005A6ACA" w:rsidRDefault="0077648E">
            <w:pPr>
              <w:pStyle w:val="ConsPlusNormal"/>
              <w:jc w:val="both"/>
            </w:pPr>
            <w:r>
              <w:t xml:space="preserve"> МОО ТОС “Средняя Курья” ________________________________________________;</w:t>
            </w:r>
          </w:p>
          <w:p w:rsidR="005A6ACA" w:rsidRDefault="0077648E">
            <w:pPr>
              <w:pStyle w:val="ConsPlusNormal"/>
              <w:jc w:val="center"/>
            </w:pPr>
            <w:r>
              <w:t>(представитель инициаторов проекта, председатель ТОС)</w:t>
            </w:r>
          </w:p>
          <w:p w:rsidR="005A6ACA" w:rsidRDefault="0077648E">
            <w:pPr>
              <w:pStyle w:val="ConsPlusNormal"/>
            </w:pPr>
            <w:r>
              <w:t>контактный телефон: 89028307364_</w:t>
            </w:r>
            <w:r>
              <w:t>__________________________________________;</w:t>
            </w:r>
          </w:p>
          <w:p w:rsidR="005A6ACA" w:rsidRDefault="0077648E">
            <w:pPr>
              <w:pStyle w:val="ConsPlusNormal"/>
            </w:pPr>
            <w:r>
              <w:t>e-mail merkushevagalina@mail.ru_____________________________________________.</w:t>
            </w:r>
          </w:p>
        </w:tc>
      </w:tr>
      <w:tr w:rsidR="005A6ACA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6ACA" w:rsidRDefault="0077648E">
            <w:pPr>
              <w:pStyle w:val="ConsPlusNormal"/>
            </w:pPr>
            <w:r>
              <w:lastRenderedPageBreak/>
              <w:t>__________________</w:t>
            </w:r>
          </w:p>
          <w:p w:rsidR="005A6ACA" w:rsidRDefault="0077648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6ACA" w:rsidRDefault="0077648E">
            <w:pPr>
              <w:pStyle w:val="ConsPlusNormal"/>
              <w:jc w:val="center"/>
            </w:pPr>
            <w:r>
              <w:t>Меркушева Г.Е.______________________________________</w:t>
            </w:r>
          </w:p>
          <w:p w:rsidR="005A6ACA" w:rsidRDefault="0077648E">
            <w:pPr>
              <w:pStyle w:val="ConsPlusNormal"/>
              <w:jc w:val="center"/>
            </w:pPr>
            <w:r>
              <w:t>(Ф. И. О.)</w:t>
            </w:r>
          </w:p>
        </w:tc>
      </w:tr>
      <w:tr w:rsidR="005A6ACA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A6ACA" w:rsidRDefault="0077648E">
            <w:pPr>
              <w:pStyle w:val="ConsPlusNormal"/>
            </w:pPr>
            <w:r>
              <w:t>Дата</w:t>
            </w:r>
          </w:p>
        </w:tc>
      </w:tr>
    </w:tbl>
    <w:p w:rsidR="005A6ACA" w:rsidRDefault="0077648E">
      <w:pPr>
        <w:pStyle w:val="ConsPlusNormal"/>
        <w:ind w:firstLine="720"/>
        <w:jc w:val="both"/>
        <w:rPr>
          <w:szCs w:val="24"/>
        </w:rPr>
      </w:pPr>
      <w:r>
        <w:rPr>
          <w:szCs w:val="24"/>
        </w:rPr>
        <w:t>&lt;*&gt;</w:t>
      </w:r>
      <w:r>
        <w:rPr>
          <w:szCs w:val="24"/>
        </w:rPr>
        <w:t xml:space="preserve"> Указывается доля софинансирования инициативного проекта </w:t>
      </w:r>
      <w:r>
        <w:rPr>
          <w:color w:val="000000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Cs w:val="24"/>
        </w:rPr>
        <w:br/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Cs w:val="24"/>
        </w:rPr>
        <w:br/>
        <w:t>в денежном эквива</w:t>
      </w:r>
      <w:r>
        <w:rPr>
          <w:color w:val="000000"/>
          <w:szCs w:val="24"/>
        </w:rPr>
        <w:t>ленте)</w:t>
      </w:r>
      <w:r>
        <w:rPr>
          <w:szCs w:val="24"/>
        </w:rPr>
        <w:t>:</w:t>
      </w:r>
    </w:p>
    <w:p w:rsidR="005A6ACA" w:rsidRDefault="0077648E">
      <w:pPr>
        <w:pStyle w:val="ConsPlusNormal"/>
        <w:ind w:firstLine="720"/>
        <w:contextualSpacing/>
        <w:jc w:val="both"/>
        <w:rPr>
          <w:color w:val="000000"/>
          <w:szCs w:val="24"/>
        </w:rPr>
      </w:pPr>
      <w:r>
        <w:rPr>
          <w:szCs w:val="24"/>
        </w:rPr>
        <w:t xml:space="preserve">не менее 10 % </w:t>
      </w:r>
      <w:r>
        <w:rPr>
          <w:color w:val="000000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5A6ACA" w:rsidRDefault="0077648E">
      <w:pPr>
        <w:pStyle w:val="ConsPlusNormal"/>
        <w:ind w:firstLine="720"/>
        <w:contextualSpacing/>
        <w:jc w:val="both"/>
        <w:rPr>
          <w:szCs w:val="24"/>
        </w:rPr>
      </w:pPr>
      <w:r>
        <w:rPr>
          <w:color w:val="000000"/>
          <w:szCs w:val="24"/>
        </w:rPr>
        <w:t>не менее 15 % от всего размера финансирования за счет средств бюджета города Пе</w:t>
      </w:r>
      <w:r>
        <w:rPr>
          <w:color w:val="000000"/>
          <w:szCs w:val="24"/>
        </w:rPr>
        <w:t>рми одного инициативного проекта, если такой размер финансирования превышает 3 000 000 руб.</w:t>
      </w:r>
    </w:p>
    <w:p w:rsidR="005A6ACA" w:rsidRDefault="005A6ACA">
      <w:pPr>
        <w:pStyle w:val="ConsPlusNormal"/>
        <w:jc w:val="both"/>
      </w:pPr>
    </w:p>
    <w:p w:rsidR="005A6ACA" w:rsidRDefault="005A6ACA">
      <w:pPr>
        <w:pStyle w:val="ConsPlusNormal"/>
        <w:jc w:val="both"/>
      </w:pPr>
    </w:p>
    <w:p w:rsidR="005A6ACA" w:rsidRDefault="005A6ACA">
      <w:pPr>
        <w:pStyle w:val="ConsPlusNormal"/>
        <w:jc w:val="both"/>
      </w:pPr>
    </w:p>
    <w:p w:rsidR="005A6ACA" w:rsidRDefault="0077648E">
      <w:pPr>
        <w:pStyle w:val="ConsPlusNormal"/>
      </w:pPr>
      <w:r>
        <w:rPr>
          <w:i/>
        </w:rPr>
        <w:br/>
      </w:r>
    </w:p>
    <w:sectPr w:rsidR="005A6ACA">
      <w:pgSz w:w="11906" w:h="16838"/>
      <w:pgMar w:top="731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8E" w:rsidRDefault="0077648E">
      <w:pPr>
        <w:pStyle w:val="ConsPlusNormal"/>
      </w:pPr>
      <w:r>
        <w:separator/>
      </w:r>
    </w:p>
  </w:endnote>
  <w:endnote w:type="continuationSeparator" w:id="0">
    <w:p w:rsidR="0077648E" w:rsidRDefault="0077648E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8E" w:rsidRDefault="0077648E">
      <w:pPr>
        <w:pStyle w:val="ConsPlusNormal"/>
      </w:pPr>
      <w:r>
        <w:separator/>
      </w:r>
    </w:p>
  </w:footnote>
  <w:footnote w:type="continuationSeparator" w:id="0">
    <w:p w:rsidR="0077648E" w:rsidRDefault="0077648E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CA"/>
    <w:rsid w:val="005A6ACA"/>
    <w:rsid w:val="00626029"/>
    <w:rsid w:val="0077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99B21-4B54-4909-B277-ABFA2BA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4203</Characters>
  <Application>Microsoft Office Word</Application>
  <DocSecurity>0</DocSecurity>
  <Lines>35</Lines>
  <Paragraphs>9</Paragraphs>
  <ScaleCrop>false</ScaleCrop>
  <Company>КонсультантПлюс Версия 4024.00.50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cp:lastModifiedBy>Брылёв Максим Сергеевич</cp:lastModifiedBy>
  <cp:revision>9</cp:revision>
  <dcterms:created xsi:type="dcterms:W3CDTF">2025-10-07T09:33:00Z</dcterms:created>
  <dcterms:modified xsi:type="dcterms:W3CDTF">2025-10-30T05:39:00Z</dcterms:modified>
</cp:coreProperties>
</file>