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b/>
          <w:szCs w:val="28"/>
        </w:rPr>
      </w:pPr>
      <w:r>
        <w:rPr>
          <w:b/>
          <w:szCs w:val="28"/>
        </w:rPr>
        <w:t xml:space="preserve">«</w:t>
      </w:r>
      <w:r>
        <w:rPr>
          <w:b/>
          <w:szCs w:val="28"/>
        </w:rPr>
        <w:t xml:space="preserve">Оснащение спортивного клуба по месту жительства «На спорте»».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инициативного проекта)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268"/>
        <w:gridCol w:w="2835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инициативным проектом,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 использованных в текущем году средств,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= 2 + 3 + 4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= (2 + 3) - 5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783 020,67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684 756,67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98 264,00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684 656,54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100,13</w:t>
            </w:r>
            <w:r/>
          </w:p>
        </w:tc>
      </w:tr>
    </w:tbl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Дата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М.П.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r/>
      <w:r/>
      <w:r/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1134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>
    <w:name w:val="Body text (2)_"/>
    <w:next w:val="898"/>
    <w:link w:val="899"/>
    <w:rPr>
      <w:sz w:val="28"/>
      <w:szCs w:val="28"/>
      <w:shd w:val="clear" w:color="auto" w:fill="ffffff"/>
    </w:rPr>
  </w:style>
  <w:style w:type="paragraph" w:styleId="899">
    <w:name w:val="Body text (2)"/>
    <w:basedOn w:val="878"/>
    <w:next w:val="899"/>
    <w:link w:val="898"/>
    <w:pPr>
      <w:jc w:val="right"/>
      <w:spacing w:after="60" w:line="241" w:lineRule="exact"/>
      <w:shd w:val="clear" w:color="auto" w:fill="ffffff"/>
      <w:widowControl w:val="off"/>
    </w:pPr>
    <w:rPr>
      <w:sz w:val="28"/>
      <w:szCs w:val="28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12</cp:revision>
  <dcterms:created xsi:type="dcterms:W3CDTF">2023-08-18T04:48:00Z</dcterms:created>
  <dcterms:modified xsi:type="dcterms:W3CDTF">2025-07-29T12:00:03Z</dcterms:modified>
  <cp:version>1048576</cp:version>
</cp:coreProperties>
</file>