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РЕЗУЛЬТАТЫ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мониторинга реализации соглашений 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муниципально-частном партнерстве за 2024 год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565"/>
        <w:gridCol w:w="7030"/>
        <w:gridCol w:w="1474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Значение показателя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16.08.2024-21.10.2024 (2,5 мес.)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307 000 </w:t>
              <w:br/>
              <w:t>тыс. руб.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307 000 </w:t>
              <w:br/>
              <w:t>тыс. руб.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ahoma" w:hAnsi="Tahoma" w:eastAsia="Arial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LibreOffice/7.6.0.3$Linux_X86_64 LibreOffice_project/60$Build-3</Application>
  <AppVersion>15.0000</AppVersion>
  <Pages>2</Pages>
  <Words>291</Words>
  <Characters>1856</Characters>
  <CharactersWithSpaces>2099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2023-01-31T06:34:00Z</dcterms:created>
  <dc:creator>uferova-ev</dc:creator>
  <dc:description/>
  <dc:language>ru-RU</dc:language>
  <cp:lastModifiedBy/>
  <dcterms:modified xsi:type="dcterms:W3CDTF">2025-01-29T15:04:09Z</dcterms:modified>
  <cp:revision>5</cp:revision>
  <dc:subject/>
  <dc:title/>
</cp:coreProperties>
</file>