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119)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:21569 площадью 13,3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</w:t>
      </w:r>
      <w:r>
        <w:rPr>
          <w:rFonts w:ascii="Times New Roman" w:hAnsi="Times New Roman" w:cs="Times New Roman"/>
          <w:sz w:val="28"/>
          <w:szCs w:val="28"/>
        </w:rPr>
        <w:t xml:space="preserve">,мкр «Кислотные дачи», ПКО № 4, пом.119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Старцев Александр Петрович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Старцев А.П.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–19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118)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:21567 площадью 13,2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</w:t>
      </w:r>
      <w:r>
        <w:rPr>
          <w:rFonts w:ascii="Times New Roman" w:hAnsi="Times New Roman" w:cs="Times New Roman"/>
          <w:sz w:val="28"/>
          <w:szCs w:val="28"/>
        </w:rPr>
        <w:t xml:space="preserve">,мкр «Кислотные дачи», ПКО № 4, пом.118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Рахматуллин Накип Нуруллович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Рахматуллин Н.Н.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–19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588</cp:revision>
  <dcterms:created xsi:type="dcterms:W3CDTF">2023-06-13T12:55:00Z</dcterms:created>
  <dcterms:modified xsi:type="dcterms:W3CDTF">2026-01-19T04:48:48Z</dcterms:modified>
</cp:coreProperties>
</file>