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:41434 площадью 35,5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Ленинский</w:t>
      </w:r>
      <w:r>
        <w:rPr>
          <w:rFonts w:ascii="Times New Roman" w:hAnsi="Times New Roman" w:cs="Times New Roman"/>
          <w:sz w:val="28"/>
          <w:szCs w:val="28"/>
        </w:rPr>
        <w:t xml:space="preserve"> район, правый берег р. Кама, ГСК № 28, бокс 25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Жадаев Сергей Люцианович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614015, Пермь, ул. 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/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13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:40631 площадью 24,7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Ленинский</w:t>
      </w:r>
      <w:r>
        <w:rPr>
          <w:rFonts w:ascii="Times New Roman" w:hAnsi="Times New Roman" w:cs="Times New Roman"/>
          <w:sz w:val="28"/>
          <w:szCs w:val="28"/>
        </w:rPr>
        <w:t xml:space="preserve"> район, ГСК № 28, правый берег р. Кама, гаражный бокс № 72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Пладистая 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614015, Пермь, ул. 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13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603</cp:revision>
  <dcterms:created xsi:type="dcterms:W3CDTF">2023-06-13T12:55:00Z</dcterms:created>
  <dcterms:modified xsi:type="dcterms:W3CDTF">2026-05-13T06:41:34Z</dcterms:modified>
</cp:coreProperties>
</file>