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103)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:20943 площадью 24,7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ул.Пихтовая, ГСК 80а, бокс 103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Коняев Леонид Васильевич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</w:t>
        <w:br/>
        <w:t xml:space="preserve">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Коняев Л.В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:47720 площадью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Индустриальный район</w:t>
      </w:r>
      <w:r>
        <w:rPr>
          <w:rFonts w:ascii="Times New Roman" w:hAnsi="Times New Roman" w:cs="Times New Roman"/>
          <w:sz w:val="28"/>
          <w:szCs w:val="28"/>
        </w:rPr>
        <w:t xml:space="preserve">, ГСК № 25 ул. Снайперов, бокс № 4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Аблаева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Аблаева Т.Н.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59:01:4311741</w:t>
      </w:r>
      <w:r>
        <w:rPr>
          <w:rFonts w:ascii="Times New Roman" w:hAnsi="Times New Roman" w:cs="Times New Roman"/>
          <w:sz w:val="28"/>
          <w:szCs w:val="28"/>
        </w:rPr>
        <w:t xml:space="preserve">:6202 площадью 51,4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западнее жилого района Гайва, ГСК № 79 бокс 5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Петухов Павел Сергеевич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Петухов П.С..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 №4)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59:01:4311741</w:t>
      </w:r>
      <w:r>
        <w:rPr>
          <w:rFonts w:ascii="Times New Roman" w:hAnsi="Times New Roman" w:cs="Times New Roman"/>
          <w:sz w:val="28"/>
          <w:szCs w:val="28"/>
        </w:rPr>
        <w:t xml:space="preserve">:6170 площадью 47,4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тер. ГСК 79 (Ордж), д б/н, западнее жилого района Гайва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Морозов Эдуард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Морозов Э.В.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59:01:4411472</w:t>
      </w:r>
      <w:r>
        <w:rPr>
          <w:rFonts w:ascii="Times New Roman" w:hAnsi="Times New Roman" w:cs="Times New Roman"/>
          <w:sz w:val="28"/>
          <w:szCs w:val="28"/>
        </w:rPr>
        <w:t xml:space="preserve">:1209 площадью 29,2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ул. Пихтовая, ГСК № 80А, бокс 82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Бунин Сергей Апполосович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Бунин С.А.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59:01:4311781</w:t>
      </w:r>
      <w:r>
        <w:rPr>
          <w:rFonts w:ascii="Times New Roman" w:hAnsi="Times New Roman" w:cs="Times New Roman"/>
          <w:sz w:val="28"/>
          <w:szCs w:val="28"/>
        </w:rPr>
        <w:t xml:space="preserve">:78 площадью 27,3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Мотовилихинский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ул.Добролюбова, ГСК № 1, бокс 1829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Баженов Виталий Аркадьевич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Баженов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III-155 )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:23188 площадью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р-н Кировский, ГСК №29 «Химик-2» гаражный бокс № III-155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Устюжанцева Маргарита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</w:t>
      </w:r>
      <w:r>
        <w:rPr>
          <w:rFonts w:ascii="Times New Roman" w:hAnsi="Times New Roman" w:cs="Times New Roman"/>
          <w:sz w:val="28"/>
          <w:szCs w:val="28"/>
        </w:rPr>
        <w:t xml:space="preserve">Устюжанцева М.Н.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III-152)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:23875 площадью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29 Химик-2 (Кир), д б/н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Гофман Алевтина Артуровна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</w:t>
      </w:r>
      <w:r>
        <w:rPr>
          <w:rFonts w:ascii="Times New Roman" w:hAnsi="Times New Roman" w:cs="Times New Roman"/>
          <w:sz w:val="28"/>
          <w:szCs w:val="28"/>
        </w:rPr>
        <w:t xml:space="preserve">Гофман В.А.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</w:t>
      </w:r>
      <w:r>
        <w:rPr>
          <w:rFonts w:ascii="Times New Roman" w:hAnsi="Times New Roman" w:cs="Times New Roman"/>
          <w:sz w:val="28"/>
          <w:szCs w:val="28"/>
        </w:rPr>
        <w:t xml:space="preserve">№ II-93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59:01:0000000:</w:t>
      </w:r>
      <w:r>
        <w:rPr>
          <w:rFonts w:ascii="Times New Roman" w:hAnsi="Times New Roman" w:cs="Times New Roman"/>
          <w:sz w:val="28"/>
          <w:szCs w:val="28"/>
        </w:rPr>
        <w:t xml:space="preserve">23903 площадью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29 Химик-2 (кир), д б/н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Корнилов Михаил Илларионович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Кирнилов 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–21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599</cp:revision>
  <dcterms:created xsi:type="dcterms:W3CDTF">2023-06-13T12:55:00Z</dcterms:created>
  <dcterms:modified xsi:type="dcterms:W3CDTF">2026-04-21T12:09:23Z</dcterms:modified>
</cp:coreProperties>
</file>