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49)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:25772 площадью 11,1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Янаульская, </w:t>
        <w:br/>
        <w:t xml:space="preserve">д б/н, кв 49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Бажина Раиса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</w:t>
      </w:r>
      <w:r>
        <w:rPr>
          <w:rFonts w:ascii="Times New Roman" w:hAnsi="Times New Roman" w:cs="Times New Roman"/>
          <w:sz w:val="28"/>
          <w:szCs w:val="28"/>
        </w:rPr>
        <w:t xml:space="preserve">Бажина Р.М.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–26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63)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:25786 площадью 11,1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Янаульская, </w:t>
        <w:br/>
        <w:t xml:space="preserve">д б/н, кв 63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Козлов Владимир Вениаминович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Козлов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–26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56)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:25779 площадью 11,1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Янаульская, </w:t>
        <w:br/>
        <w:t xml:space="preserve">д б/н, кв 56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Мазилов Герман Борисович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Мазилов Г.Б.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–26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46)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:25769 площадью 11,1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Янаульская, </w:t>
        <w:br/>
        <w:t xml:space="preserve">д б/н, кв 46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Терехов Рудольф Григорьевич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Терехов Р.Г.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–26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590</cp:revision>
  <dcterms:created xsi:type="dcterms:W3CDTF">2023-06-13T12:55:00Z</dcterms:created>
  <dcterms:modified xsi:type="dcterms:W3CDTF">2026-01-26T11:01:36Z</dcterms:modified>
</cp:coreProperties>
</file>