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6"/>
        <w:ind w:left="0" w:right="0" w:firstLine="0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Перечень объектов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86"/>
        <w:ind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8"/>
        <w:numPr>
          <w:ilvl w:val="0"/>
          <w:numId w:val="38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Дзержинский район,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Ветлужская, 23, Грузинская, 5, Букирева, 10, Толмачева, 3, Плеханова, 34, Связистов, 4, Строителей, 24б, Рабочая, 25, Марии Загуменных, 16, Переселенч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еская, 111, Пр. Парковый, 6, Подлесная, 17, Малкова, 28, С. Есенина, 9, Переселенческая, 104, Переселенческая, 113, Ветлужская, 48, Вагонная, 8, Ветлужская, 89г, Ветлужская, 13, Дошкольная, 9, Тувинская, 72, 1-ая Путейская, 131, Путейская, 24, Малкова, 24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аварийные, 62 шт., компенсационные посадки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8"/>
        <w:numPr>
          <w:ilvl w:val="0"/>
          <w:numId w:val="38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Индустриальный район, ул. Комбайнеров, 34, аварийные, 4 шт., компенсационные посадки.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8"/>
        <w:numPr>
          <w:ilvl w:val="0"/>
          <w:numId w:val="38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Кировский район, ул. Магистральная, реконструкция тепловой сети, 97 шт., восстановительная стоимость.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9"/>
        <w:numPr>
          <w:ilvl w:val="0"/>
          <w:numId w:val="38"/>
        </w:numPr>
        <w:jc w:val="both"/>
        <w:tabs>
          <w:tab w:val="clear" w:pos="4153" w:leader="none"/>
          <w:tab w:val="clear" w:pos="8306" w:leader="none"/>
        </w:tabs>
      </w:pPr>
      <w:r>
        <w:rPr>
          <w:sz w:val="28"/>
          <w:szCs w:val="28"/>
        </w:rPr>
        <w:t xml:space="preserve">Орджоникидзевский район, ул. Кабельщиков, 10, снос 12 шт. (1 сухостойного и 11 аварийных) деревьев. Компенсационные посадки.</w:t>
      </w:r>
      <w:r/>
    </w:p>
    <w:p>
      <w:pPr>
        <w:pStyle w:val="1049"/>
        <w:numPr>
          <w:ilvl w:val="0"/>
          <w:numId w:val="38"/>
        </w:numPr>
        <w:jc w:val="both"/>
        <w:tabs>
          <w:tab w:val="clear" w:pos="4153" w:leader="none"/>
          <w:tab w:val="clear" w:pos="8306" w:leader="none"/>
        </w:tabs>
      </w:pPr>
      <w:r>
        <w:rPr>
          <w:sz w:val="28"/>
          <w:szCs w:val="28"/>
        </w:rPr>
        <w:t xml:space="preserve">Орджоникидзевский район, ул. Академика Веденеева, 69, снос 1 дерева и 10 шт. </w:t>
      </w:r>
      <w:r>
        <w:rPr>
          <w:sz w:val="28"/>
          <w:szCs w:val="28"/>
        </w:rPr>
        <w:t xml:space="preserve">кустарников в связи с проведением работ по объекту: «Реконструкция (вынос) ТП-4393, участков КЛ 6кВ, КЛ 0,4 кВ в связи с застройкой территории по адресу: Пермский край, г. Пермь, ул. Академика Веденеева (переустройство сетей)». Восстановительная стоимость.</w:t>
      </w:r>
      <w:r/>
    </w:p>
    <w:p>
      <w:pPr>
        <w:pStyle w:val="1049"/>
        <w:numPr>
          <w:ilvl w:val="0"/>
          <w:numId w:val="38"/>
        </w:numPr>
        <w:jc w:val="both"/>
        <w:tabs>
          <w:tab w:val="clear" w:pos="4153" w:leader="none"/>
          <w:tab w:val="clear" w:pos="830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Орджоникидзевский район, ул. Академика Веденеева, 13а, снос 17 шт. аварийных деревьев. Компенсационные посадки.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9"/>
        <w:numPr>
          <w:ilvl w:val="0"/>
          <w:numId w:val="38"/>
        </w:numPr>
        <w:jc w:val="both"/>
        <w:tabs>
          <w:tab w:val="clear" w:pos="4153" w:leader="none"/>
          <w:tab w:val="clear" w:pos="830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Орджоникидзевский район, ул. Репина, 68, снос 16 шт. (2 сухостойных и 14 аварийных) деревьев. Компенсационные посадки.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9"/>
        <w:numPr>
          <w:ilvl w:val="0"/>
          <w:numId w:val="38"/>
        </w:numPr>
        <w:jc w:val="both"/>
        <w:tabs>
          <w:tab w:val="clear" w:pos="4153" w:leader="none"/>
          <w:tab w:val="clear" w:pos="8306" w:leader="none"/>
        </w:tabs>
      </w:pPr>
      <w:r>
        <w:rPr>
          <w:sz w:val="28"/>
          <w:szCs w:val="28"/>
        </w:rPr>
        <w:t xml:space="preserve">Орджоникидзевский район, ул. </w:t>
      </w:r>
      <w:r>
        <w:rPr>
          <w:sz w:val="28"/>
          <w:szCs w:val="28"/>
        </w:rPr>
        <w:t xml:space="preserve">Писарева, 35,</w:t>
      </w:r>
      <w:r>
        <w:rPr>
          <w:sz w:val="28"/>
          <w:szCs w:val="28"/>
        </w:rPr>
        <w:t xml:space="preserve"> снос </w:t>
      </w:r>
      <w:r>
        <w:rPr>
          <w:sz w:val="28"/>
          <w:szCs w:val="28"/>
        </w:rPr>
        <w:t xml:space="preserve">38</w:t>
      </w:r>
      <w:r>
        <w:rPr>
          <w:sz w:val="28"/>
          <w:szCs w:val="28"/>
        </w:rPr>
        <w:t xml:space="preserve"> шт. (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сухостойн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37</w:t>
      </w:r>
      <w:r>
        <w:rPr>
          <w:sz w:val="28"/>
          <w:szCs w:val="28"/>
        </w:rPr>
        <w:t xml:space="preserve"> аварийных) деревьев. Компенсационные посадки.</w:t>
      </w:r>
      <w:r/>
    </w:p>
    <w:p>
      <w:pPr>
        <w:pStyle w:val="1028"/>
        <w:numPr>
          <w:ilvl w:val="0"/>
          <w:numId w:val="38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Орджоникидзевский район, ул. </w:t>
      </w:r>
      <w:r>
        <w:rPr>
          <w:sz w:val="28"/>
          <w:szCs w:val="28"/>
        </w:rPr>
        <w:t xml:space="preserve">Репина, парк культуры и отдыха им. А.П. Чехова, </w:t>
      </w:r>
      <w:r>
        <w:rPr>
          <w:sz w:val="28"/>
          <w:szCs w:val="28"/>
        </w:rPr>
        <w:t xml:space="preserve">снос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шт. (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 сухостойн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аварийных) деревьев. Компенсационные посадки.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8"/>
        <w:numPr>
          <w:ilvl w:val="0"/>
          <w:numId w:val="38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  <w:t xml:space="preserve">Свердловский район район, ул. Сахалинская, </w:t>
      </w:r>
      <w:r>
        <w:rPr>
          <w:sz w:val="28"/>
          <w:szCs w:val="28"/>
        </w:rPr>
        <w:t xml:space="preserve">кн </w:t>
      </w:r>
      <w:r>
        <w:rPr>
          <w:sz w:val="28"/>
          <w:szCs w:val="28"/>
        </w:rPr>
        <w:t xml:space="preserve">59:01:4311867:872, снос 29 шт. деревьев </w:t>
      </w:r>
      <w:r>
        <w:rPr>
          <w:sz w:val="28"/>
          <w:szCs w:val="28"/>
        </w:rPr>
        <w:t xml:space="preserve">в связи с благоустройством территории. </w:t>
      </w:r>
      <w:r>
        <w:rPr>
          <w:sz w:val="28"/>
          <w:szCs w:val="28"/>
        </w:rPr>
        <w:t xml:space="preserve">Компенсационные посадки.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8" w:header="284" w:footer="68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Arial">
    <w:panose1 w:val="020B0604020202020204"/>
  </w:font>
  <w:font w:name="Liberation Sans">
    <w:panose1 w:val="020B0604020202020204"/>
  </w:font>
  <w:font w:name="Tahoma">
    <w:panose1 w:val="020B06040305040402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0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49"/>
                            <w:rPr>
                              <w:rStyle w:val="1020"/>
                            </w:rPr>
                          </w:pPr>
                          <w:r>
                            <w:rPr>
                              <w:rStyle w:val="102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20"/>
                              <w:color w:val="000000"/>
                            </w:rPr>
                            <w:t xml:space="preserve">2</w:t>
                          </w:r>
                          <w:r>
                            <w:rPr>
                              <w:rStyle w:val="10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20"/>
                            </w:rPr>
                          </w:r>
                          <w:r>
                            <w:rPr>
                              <w:rStyle w:val="1020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4;o:allowoverlap:true;o:allowincell:false;mso-position-horizontal-relative:margin;mso-position-horizontal:center;mso-position-vertical-relative:text;margin-top:0.05pt;mso-position-vertical:absolute;width:5.05pt;height:11.4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49"/>
                      <w:rPr>
                        <w:rStyle w:val="1020"/>
                      </w:rPr>
                    </w:pPr>
                    <w:r>
                      <w:rPr>
                        <w:rStyle w:val="1020"/>
                        <w:color w:val="000000"/>
                      </w:rPr>
                      <w:fldChar w:fldCharType="begin"/>
                    </w:r>
                    <w:r>
                      <w:rPr>
                        <w:rStyle w:val="102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20"/>
                        <w:color w:val="000000"/>
                      </w:rPr>
                      <w:fldChar w:fldCharType="separate"/>
                    </w:r>
                    <w:r>
                      <w:rPr>
                        <w:rStyle w:val="1020"/>
                        <w:color w:val="000000"/>
                      </w:rPr>
                      <w:t xml:space="preserve">2</w:t>
                    </w:r>
                    <w:r>
                      <w:rPr>
                        <w:rStyle w:val="1020"/>
                        <w:color w:val="000000"/>
                      </w:rPr>
                      <w:fldChar w:fldCharType="end"/>
                    </w:r>
                    <w:r>
                      <w:rPr>
                        <w:rStyle w:val="1020"/>
                      </w:rPr>
                    </w:r>
                    <w:r>
                      <w:rPr>
                        <w:rStyle w:val="102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49"/>
                            <w:rPr>
                              <w:rStyle w:val="1020"/>
                            </w:rPr>
                          </w:pPr>
                          <w:r>
                            <w:rPr>
                              <w:rStyle w:val="102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20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10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20"/>
                            </w:rPr>
                          </w:r>
                          <w:r>
                            <w:rPr>
                              <w:rStyle w:val="1020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49"/>
                      <w:rPr>
                        <w:rStyle w:val="1020"/>
                      </w:rPr>
                    </w:pPr>
                    <w:r>
                      <w:rPr>
                        <w:rStyle w:val="1020"/>
                        <w:color w:val="000000"/>
                      </w:rPr>
                      <w:fldChar w:fldCharType="begin"/>
                    </w:r>
                    <w:r>
                      <w:rPr>
                        <w:rStyle w:val="102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20"/>
                        <w:color w:val="000000"/>
                      </w:rPr>
                      <w:fldChar w:fldCharType="separate"/>
                    </w:r>
                    <w:r>
                      <w:rPr>
                        <w:rStyle w:val="1020"/>
                        <w:color w:val="000000"/>
                      </w:rPr>
                      <w:t xml:space="preserve">0</w:t>
                    </w:r>
                    <w:r>
                      <w:rPr>
                        <w:rStyle w:val="1020"/>
                        <w:color w:val="000000"/>
                      </w:rPr>
                      <w:fldChar w:fldCharType="end"/>
                    </w:r>
                    <w:r>
                      <w:rPr>
                        <w:rStyle w:val="1020"/>
                      </w:rPr>
                    </w:r>
                    <w:r>
                      <w:rPr>
                        <w:rStyle w:val="1020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49"/>
                            <w:rPr>
                              <w:rStyle w:val="1020"/>
                            </w:rPr>
                          </w:pPr>
                          <w:r>
                            <w:rPr>
                              <w:rStyle w:val="102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20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10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20"/>
                            </w:rPr>
                          </w:r>
                          <w:r>
                            <w:rPr>
                              <w:rStyle w:val="1020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49"/>
                      <w:rPr>
                        <w:rStyle w:val="1020"/>
                      </w:rPr>
                    </w:pPr>
                    <w:r>
                      <w:rPr>
                        <w:rStyle w:val="1020"/>
                        <w:color w:val="000000"/>
                      </w:rPr>
                      <w:fldChar w:fldCharType="begin"/>
                    </w:r>
                    <w:r>
                      <w:rPr>
                        <w:rStyle w:val="102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20"/>
                        <w:color w:val="000000"/>
                      </w:rPr>
                      <w:fldChar w:fldCharType="separate"/>
                    </w:r>
                    <w:r>
                      <w:rPr>
                        <w:rStyle w:val="1020"/>
                        <w:color w:val="000000"/>
                      </w:rPr>
                      <w:t xml:space="preserve">0</w:t>
                    </w:r>
                    <w:r>
                      <w:rPr>
                        <w:rStyle w:val="1020"/>
                        <w:color w:val="000000"/>
                      </w:rPr>
                      <w:fldChar w:fldCharType="end"/>
                    </w:r>
                    <w:r>
                      <w:rPr>
                        <w:rStyle w:val="1020"/>
                      </w:rPr>
                    </w:r>
                    <w:r>
                      <w:rPr>
                        <w:rStyle w:val="102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240" w:hanging="36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600" w:hanging="36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960" w:hanging="360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4320" w:hanging="360"/>
        <w:tabs>
          <w:tab w:val="num" w:pos="432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9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9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9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9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9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9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9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86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987" w:customStyle="1">
    <w:name w:val="Heading 1"/>
    <w:qFormat/>
    <w:pPr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outlineLvl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u w:val="none"/>
      <w:vertAlign w:val="baseline"/>
      <w:lang w:val="ru-RU" w:eastAsia="ru-RU" w:bidi="ar-SA"/>
      <w14:ligatures w14:val="none"/>
    </w:rPr>
  </w:style>
  <w:style w:type="paragraph" w:styleId="988">
    <w:name w:val="Heading 2"/>
    <w:basedOn w:val="986"/>
    <w:qFormat/>
    <w:pPr>
      <w:jc w:val="center"/>
      <w:keepNext/>
      <w:outlineLvl w:val="1"/>
    </w:pPr>
    <w:rPr>
      <w:sz w:val="24"/>
    </w:rPr>
  </w:style>
  <w:style w:type="paragraph" w:styleId="989">
    <w:name w:val="Heading 3"/>
    <w:basedOn w:val="9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90">
    <w:name w:val="Heading 4"/>
    <w:basedOn w:val="9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91">
    <w:name w:val="Heading 5"/>
    <w:basedOn w:val="9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92">
    <w:name w:val="Heading 6"/>
    <w:basedOn w:val="9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93">
    <w:name w:val="Heading 7"/>
    <w:basedOn w:val="9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94">
    <w:name w:val="Heading 8"/>
    <w:basedOn w:val="9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95">
    <w:name w:val="Heading 9"/>
    <w:basedOn w:val="9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96">
    <w:name w:val="Heading 1 Char"/>
    <w:basedOn w:val="1018"/>
    <w:uiPriority w:val="9"/>
    <w:qFormat/>
    <w:rPr>
      <w:rFonts w:ascii="Arial" w:hAnsi="Arial" w:eastAsia="Arial" w:cs="Arial"/>
      <w:sz w:val="40"/>
      <w:szCs w:val="40"/>
    </w:rPr>
  </w:style>
  <w:style w:type="character" w:styleId="997">
    <w:name w:val="Heading 2 Char"/>
    <w:basedOn w:val="1018"/>
    <w:uiPriority w:val="9"/>
    <w:qFormat/>
    <w:rPr>
      <w:rFonts w:ascii="Arial" w:hAnsi="Arial" w:eastAsia="Arial" w:cs="Arial"/>
      <w:sz w:val="34"/>
    </w:rPr>
  </w:style>
  <w:style w:type="character" w:styleId="998">
    <w:name w:val="Heading 3 Char"/>
    <w:basedOn w:val="1018"/>
    <w:uiPriority w:val="9"/>
    <w:qFormat/>
    <w:rPr>
      <w:rFonts w:ascii="Arial" w:hAnsi="Arial" w:eastAsia="Arial" w:cs="Arial"/>
      <w:sz w:val="30"/>
      <w:szCs w:val="30"/>
    </w:rPr>
  </w:style>
  <w:style w:type="character" w:styleId="999">
    <w:name w:val="Heading 4 Char"/>
    <w:basedOn w:val="10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00">
    <w:name w:val="Heading 5 Char"/>
    <w:basedOn w:val="101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01">
    <w:name w:val="Heading 6 Char"/>
    <w:basedOn w:val="101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02">
    <w:name w:val="Heading 7 Char"/>
    <w:basedOn w:val="101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03">
    <w:name w:val="Heading 8 Char"/>
    <w:basedOn w:val="101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04">
    <w:name w:val="Heading 9 Char"/>
    <w:basedOn w:val="101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05">
    <w:name w:val="Title Char"/>
    <w:basedOn w:val="1018"/>
    <w:uiPriority w:val="10"/>
    <w:qFormat/>
    <w:rPr>
      <w:sz w:val="48"/>
      <w:szCs w:val="48"/>
    </w:rPr>
  </w:style>
  <w:style w:type="character" w:styleId="1006">
    <w:name w:val="Subtitle Char"/>
    <w:basedOn w:val="1018"/>
    <w:uiPriority w:val="11"/>
    <w:qFormat/>
    <w:rPr>
      <w:sz w:val="24"/>
      <w:szCs w:val="24"/>
    </w:rPr>
  </w:style>
  <w:style w:type="character" w:styleId="1007">
    <w:name w:val="Quote Char"/>
    <w:uiPriority w:val="29"/>
    <w:qFormat/>
    <w:rPr>
      <w:i/>
    </w:rPr>
  </w:style>
  <w:style w:type="character" w:styleId="1008">
    <w:name w:val="Intense Quote Char"/>
    <w:uiPriority w:val="30"/>
    <w:qFormat/>
    <w:rPr>
      <w:i/>
    </w:rPr>
  </w:style>
  <w:style w:type="character" w:styleId="1009">
    <w:name w:val="Header Char"/>
    <w:basedOn w:val="1018"/>
    <w:uiPriority w:val="99"/>
    <w:qFormat/>
  </w:style>
  <w:style w:type="character" w:styleId="1010">
    <w:name w:val="Footer Char"/>
    <w:basedOn w:val="1018"/>
    <w:uiPriority w:val="99"/>
    <w:qFormat/>
  </w:style>
  <w:style w:type="character" w:styleId="1011">
    <w:name w:val="Caption Char"/>
    <w:uiPriority w:val="99"/>
    <w:qFormat/>
  </w:style>
  <w:style w:type="character" w:styleId="1012">
    <w:name w:val="Footnote Text Char"/>
    <w:uiPriority w:val="99"/>
    <w:qFormat/>
    <w:rPr>
      <w:sz w:val="18"/>
    </w:rPr>
  </w:style>
  <w:style w:type="character" w:styleId="1013">
    <w:name w:val="Символ сноски"/>
    <w:uiPriority w:val="99"/>
    <w:unhideWhenUsed/>
    <w:qFormat/>
    <w:rPr>
      <w:vertAlign w:val="superscript"/>
    </w:rPr>
  </w:style>
  <w:style w:type="character" w:styleId="1014">
    <w:name w:val="footnote reference"/>
    <w:rPr>
      <w:vertAlign w:val="superscript"/>
    </w:rPr>
  </w:style>
  <w:style w:type="character" w:styleId="1015">
    <w:name w:val="Endnote Text Char"/>
    <w:uiPriority w:val="99"/>
    <w:qFormat/>
    <w:rPr>
      <w:sz w:val="20"/>
    </w:rPr>
  </w:style>
  <w:style w:type="character" w:styleId="101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1017">
    <w:name w:val="endnote reference"/>
    <w:rPr>
      <w:vertAlign w:val="superscript"/>
    </w:rPr>
  </w:style>
  <w:style w:type="character" w:styleId="1018" w:default="1">
    <w:name w:val="Default Paragraph Font"/>
    <w:semiHidden/>
    <w:qFormat/>
  </w:style>
  <w:style w:type="character" w:styleId="1019">
    <w:name w:val="Hyperlink"/>
    <w:rPr>
      <w:color w:val="0000ff"/>
      <w:u w:val="single"/>
    </w:rPr>
  </w:style>
  <w:style w:type="character" w:styleId="1020">
    <w:name w:val="page number"/>
    <w:basedOn w:val="1018"/>
    <w:qFormat/>
  </w:style>
  <w:style w:type="character" w:styleId="1021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1022">
    <w:name w:val="Символ нумерации"/>
    <w:qFormat/>
  </w:style>
  <w:style w:type="paragraph" w:styleId="1023">
    <w:name w:val="Заголовок"/>
    <w:basedOn w:val="986"/>
    <w:next w:val="1024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1024">
    <w:name w:val="Body Text"/>
    <w:basedOn w:val="986"/>
    <w:rPr>
      <w:sz w:val="28"/>
    </w:rPr>
  </w:style>
  <w:style w:type="paragraph" w:styleId="1025">
    <w:name w:val="List"/>
    <w:basedOn w:val="1024"/>
    <w:rPr>
      <w:rFonts w:cs="Lohit Devanagari"/>
    </w:rPr>
  </w:style>
  <w:style w:type="paragraph" w:styleId="1026">
    <w:name w:val="Caption"/>
    <w:basedOn w:val="986"/>
    <w:link w:val="10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027">
    <w:name w:val="Указатель"/>
    <w:basedOn w:val="986"/>
    <w:qFormat/>
    <w:pPr>
      <w:suppressLineNumbers/>
    </w:pPr>
    <w:rPr>
      <w:rFonts w:cs="Lohit Devanagari"/>
    </w:rPr>
  </w:style>
  <w:style w:type="paragraph" w:styleId="1028">
    <w:name w:val="List Paragraph"/>
    <w:basedOn w:val="986"/>
    <w:uiPriority w:val="34"/>
    <w:qFormat/>
    <w:pPr>
      <w:contextualSpacing/>
      <w:ind w:left="720"/>
      <w:spacing w:before="0" w:after="0"/>
    </w:pPr>
  </w:style>
  <w:style w:type="paragraph" w:styleId="1029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1030">
    <w:name w:val="Title"/>
    <w:basedOn w:val="98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1031">
    <w:name w:val="Subtitle"/>
    <w:basedOn w:val="986"/>
    <w:uiPriority w:val="11"/>
    <w:qFormat/>
    <w:pPr>
      <w:spacing w:before="200" w:after="200"/>
    </w:pPr>
    <w:rPr>
      <w:sz w:val="24"/>
      <w:szCs w:val="24"/>
    </w:rPr>
  </w:style>
  <w:style w:type="paragraph" w:styleId="1032">
    <w:name w:val="Quote"/>
    <w:basedOn w:val="986"/>
    <w:uiPriority w:val="29"/>
    <w:qFormat/>
    <w:pPr>
      <w:ind w:left="720" w:right="720"/>
    </w:pPr>
    <w:rPr>
      <w:i/>
    </w:rPr>
  </w:style>
  <w:style w:type="paragraph" w:styleId="1033">
    <w:name w:val="Intense Quote"/>
    <w:basedOn w:val="986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34">
    <w:name w:val="footnote text"/>
    <w:basedOn w:val="98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035">
    <w:name w:val="endnote text"/>
    <w:basedOn w:val="98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036">
    <w:name w:val="toc 1"/>
    <w:basedOn w:val="986"/>
    <w:uiPriority w:val="39"/>
    <w:unhideWhenUsed/>
    <w:pPr>
      <w:ind w:left="0" w:right="0" w:firstLine="0"/>
      <w:spacing w:before="0" w:after="57"/>
    </w:pPr>
  </w:style>
  <w:style w:type="paragraph" w:styleId="1037">
    <w:name w:val="toc 2"/>
    <w:basedOn w:val="986"/>
    <w:uiPriority w:val="39"/>
    <w:unhideWhenUsed/>
    <w:pPr>
      <w:ind w:left="283" w:right="0" w:firstLine="0"/>
      <w:spacing w:before="0" w:after="57"/>
    </w:pPr>
  </w:style>
  <w:style w:type="paragraph" w:styleId="1038">
    <w:name w:val="toc 3"/>
    <w:basedOn w:val="986"/>
    <w:uiPriority w:val="39"/>
    <w:unhideWhenUsed/>
    <w:pPr>
      <w:ind w:left="567" w:right="0" w:firstLine="0"/>
      <w:spacing w:before="0" w:after="57"/>
    </w:pPr>
  </w:style>
  <w:style w:type="paragraph" w:styleId="1039">
    <w:name w:val="toc 4"/>
    <w:basedOn w:val="986"/>
    <w:uiPriority w:val="39"/>
    <w:unhideWhenUsed/>
    <w:pPr>
      <w:ind w:left="850" w:right="0" w:firstLine="0"/>
      <w:spacing w:before="0" w:after="57"/>
    </w:pPr>
  </w:style>
  <w:style w:type="paragraph" w:styleId="1040">
    <w:name w:val="toc 5"/>
    <w:basedOn w:val="986"/>
    <w:uiPriority w:val="39"/>
    <w:unhideWhenUsed/>
    <w:pPr>
      <w:ind w:left="1134" w:right="0" w:firstLine="0"/>
      <w:spacing w:before="0" w:after="57"/>
    </w:pPr>
  </w:style>
  <w:style w:type="paragraph" w:styleId="1041">
    <w:name w:val="toc 6"/>
    <w:basedOn w:val="986"/>
    <w:uiPriority w:val="39"/>
    <w:unhideWhenUsed/>
    <w:pPr>
      <w:ind w:left="1417" w:right="0" w:firstLine="0"/>
      <w:spacing w:before="0" w:after="57"/>
    </w:pPr>
  </w:style>
  <w:style w:type="paragraph" w:styleId="1042">
    <w:name w:val="toc 7"/>
    <w:basedOn w:val="986"/>
    <w:uiPriority w:val="39"/>
    <w:unhideWhenUsed/>
    <w:pPr>
      <w:ind w:left="1701" w:right="0" w:firstLine="0"/>
      <w:spacing w:before="0" w:after="57"/>
    </w:pPr>
  </w:style>
  <w:style w:type="paragraph" w:styleId="1043">
    <w:name w:val="toc 8"/>
    <w:basedOn w:val="986"/>
    <w:uiPriority w:val="39"/>
    <w:unhideWhenUsed/>
    <w:pPr>
      <w:ind w:left="1984" w:right="0" w:firstLine="0"/>
      <w:spacing w:before="0" w:after="57"/>
    </w:pPr>
  </w:style>
  <w:style w:type="paragraph" w:styleId="1044">
    <w:name w:val="toc 9"/>
    <w:basedOn w:val="986"/>
    <w:uiPriority w:val="39"/>
    <w:unhideWhenUsed/>
    <w:pPr>
      <w:ind w:left="2268" w:right="0" w:firstLine="0"/>
      <w:spacing w:before="0" w:after="57"/>
    </w:pPr>
  </w:style>
  <w:style w:type="paragraph" w:styleId="1045">
    <w:name w:val="Index Heading"/>
    <w:basedOn w:val="1023"/>
  </w:style>
  <w:style w:type="paragraph" w:styleId="1046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1047">
    <w:name w:val="table of figures"/>
    <w:basedOn w:val="986"/>
    <w:uiPriority w:val="99"/>
    <w:unhideWhenUsed/>
    <w:pPr>
      <w:spacing w:before="0" w:after="0" w:afterAutospacing="0"/>
    </w:pPr>
  </w:style>
  <w:style w:type="paragraph" w:styleId="1048">
    <w:name w:val="Колонтитул"/>
    <w:basedOn w:val="986"/>
    <w:qFormat/>
  </w:style>
  <w:style w:type="paragraph" w:styleId="1049">
    <w:name w:val="Header"/>
    <w:basedOn w:val="986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1050">
    <w:name w:val="Footer"/>
    <w:basedOn w:val="986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1051">
    <w:name w:val="Balloon Text"/>
    <w:basedOn w:val="986"/>
    <w:qFormat/>
    <w:rPr>
      <w:rFonts w:ascii="Tahoma" w:hAnsi="Tahoma" w:cs="Tahoma"/>
      <w:sz w:val="16"/>
      <w:szCs w:val="16"/>
    </w:rPr>
  </w:style>
  <w:style w:type="paragraph" w:styleId="1052">
    <w:name w:val="Содержимое врезки"/>
    <w:basedOn w:val="986"/>
    <w:qFormat/>
  </w:style>
  <w:style w:type="numbering" w:styleId="1053" w:default="1">
    <w:name w:val="No List"/>
    <w:semiHidden/>
    <w:qFormat/>
  </w:style>
  <w:style w:type="table" w:styleId="10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города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kutasheva-av</cp:lastModifiedBy>
  <cp:revision>43</cp:revision>
  <dcterms:created xsi:type="dcterms:W3CDTF">2024-07-26T05:32:00Z</dcterms:created>
  <dcterms:modified xsi:type="dcterms:W3CDTF">2026-07-06T07:17:28Z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