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004"/>
        <w:ind w:left="0" w:right="0" w:firstLine="0"/>
        <w:jc w:val="center"/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sz w:val="28"/>
          <w:szCs w:val="28"/>
        </w:rPr>
        <w:t xml:space="preserve">Перечень объектов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1004"/>
        <w:ind w:firstLine="0"/>
        <w:jc w:val="both"/>
        <w:spacing w:line="240" w:lineRule="auto"/>
        <w:rPr>
          <w:sz w:val="28"/>
          <w:szCs w:val="28"/>
          <w:highlight w:val="none"/>
        </w:rPr>
      </w:pPr>
      <w:r>
        <w:rPr>
          <w:sz w:val="28"/>
          <w:szCs w:val="28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1046"/>
        <w:numPr>
          <w:ilvl w:val="0"/>
          <w:numId w:val="45"/>
        </w:numPr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  <w:t xml:space="preserve">Дзержинский район, ул. Данщина, снос 16 шт. деревьев в связи </w:t>
        <w:br/>
        <w:t xml:space="preserve">с обустройством парковочных карманов. Компенсационные посадки.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46"/>
        <w:numPr>
          <w:ilvl w:val="0"/>
          <w:numId w:val="45"/>
        </w:numPr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Индустриальный район, 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л. Чердынская, 22а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аварийные, 5 шт., компенсационные посадки.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46"/>
        <w:numPr>
          <w:ilvl w:val="0"/>
          <w:numId w:val="45"/>
        </w:numPr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Индустриальный район, парк Балатово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сухостойные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8 шт., компенсационные посадки.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46"/>
        <w:numPr>
          <w:ilvl w:val="0"/>
          <w:numId w:val="45"/>
        </w:numPr>
        <w:jc w:val="both"/>
        <w:spacing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Ленинский райрон, ул. Советская (от ул. Сибирская </w:t>
        <w:br/>
        <w:t xml:space="preserve">до пр. Комсомольского), снос 54 шт. кустарников в связи</w:t>
        <w:br/>
        <w:t xml:space="preserve">с капитальным ремонтом дороги. Компенсационные посадки.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46"/>
        <w:numPr>
          <w:ilvl w:val="0"/>
          <w:numId w:val="45"/>
        </w:numPr>
        <w:jc w:val="both"/>
        <w:spacing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Мотовилихинский район, ул. Жуковского, 14, снос 2 шт. аварийных деревьев. Компенсационные посадки.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46"/>
        <w:numPr>
          <w:ilvl w:val="0"/>
          <w:numId w:val="45"/>
        </w:numPr>
        <w:jc w:val="both"/>
        <w:spacing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Мотовилихинский район, ул. Гашкова, 27а/1, снос 1 шт. аварийного дерева и 1 шт. дерева пересадка. Компенсационные посадки.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46"/>
        <w:numPr>
          <w:ilvl w:val="0"/>
          <w:numId w:val="45"/>
        </w:numPr>
        <w:jc w:val="both"/>
        <w:spacing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Мотовилихинский район, ул. Уинская, 55а, снос 23 шт. деревьев</w:t>
        <w:br/>
        <w:t xml:space="preserve">в связи со строительством многоквартирного жилого дома. Восстановительная стоимость.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46"/>
        <w:numPr>
          <w:ilvl w:val="0"/>
          <w:numId w:val="45"/>
        </w:numPr>
        <w:jc w:val="both"/>
        <w:spacing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Мотовилихинский район, ул. Фокинская, 7, 11, 29, 45, снос 4 шт. аварийных деревьев. Компенсационные посадки.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46"/>
        <w:numPr>
          <w:ilvl w:val="0"/>
          <w:numId w:val="45"/>
        </w:numPr>
        <w:jc w:val="both"/>
        <w:spacing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Мотовилихинский район, ул. 2-я Запрудская, 60, снос 1 шт. аварийного дерева. Компенсационные посадки.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46"/>
        <w:numPr>
          <w:ilvl w:val="0"/>
          <w:numId w:val="45"/>
        </w:numPr>
        <w:jc w:val="both"/>
        <w:spacing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Мотовилихинский район, ул. Чермозская, 28, снос 1 шт. аварийного дерева. Компенсационные посадки.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46"/>
        <w:numPr>
          <w:ilvl w:val="0"/>
          <w:numId w:val="45"/>
        </w:numPr>
        <w:jc w:val="both"/>
        <w:spacing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Мотовилихинский район, ул. Юрша, 84а, снос 4 шт. аварийных деревьев. Компенсационные посадки.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46"/>
        <w:numPr>
          <w:ilvl w:val="0"/>
          <w:numId w:val="45"/>
        </w:numPr>
        <w:jc w:val="both"/>
        <w:spacing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Мотовилихинский район, ул. 2-я Запрудская, 76, снос 1 шт. аварийного дерева. Компенсационные посадки.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46"/>
        <w:numPr>
          <w:ilvl w:val="0"/>
          <w:numId w:val="45"/>
        </w:numPr>
        <w:jc w:val="both"/>
        <w:spacing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Мотовилихинский район, ул. Козловская, 38, снос 1 шт. аварийного дерева. Компенсационные посадки.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46"/>
        <w:numPr>
          <w:ilvl w:val="0"/>
          <w:numId w:val="45"/>
        </w:numPr>
        <w:jc w:val="both"/>
        <w:spacing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Мотовилихинский район, ул. Козловская, 40, снос 1 шт. аварийного дерева. Компенсационные посадки.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46"/>
        <w:numPr>
          <w:ilvl w:val="0"/>
          <w:numId w:val="45"/>
        </w:numPr>
        <w:jc w:val="both"/>
        <w:spacing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Мотовилихинский район, объект озеленения общего пользования «сквер им. Юрия Калачникова», снос 1 шт. аварийного дерева. Компенсационные посадки.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46"/>
        <w:numPr>
          <w:ilvl w:val="0"/>
          <w:numId w:val="45"/>
        </w:numPr>
        <w:jc w:val="both"/>
        <w:spacing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Орджоникидзевский район, ул. Ольховская, 32, снос 2 шт. аварийных деревьев. Компенсационные посадки.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46"/>
        <w:numPr>
          <w:ilvl w:val="0"/>
          <w:numId w:val="45"/>
        </w:numPr>
        <w:jc w:val="both"/>
        <w:spacing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Орджоникидзевский район, ул. Генерала Доватора, 40, снос 6 шт. деревьев на основании протокола общего собрания собственников многоквартирного жилого дома. Компенсационные посадки.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46"/>
        <w:numPr>
          <w:ilvl w:val="0"/>
          <w:numId w:val="45"/>
        </w:numPr>
        <w:jc w:val="both"/>
        <w:spacing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Свердловский район, ул. Пионерская, 8, снос 2 шт. аварийных деревьев. Компенсационные посадки.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46"/>
        <w:numPr>
          <w:ilvl w:val="0"/>
          <w:numId w:val="45"/>
        </w:numPr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Свердловский район, ул. Революции, 26, снос 2 шт. аварийных деревьев. Компенсационные посадки.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46"/>
        <w:numPr>
          <w:ilvl w:val="0"/>
          <w:numId w:val="45"/>
        </w:numPr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Свердловский район, мкр. Новые Ляды, территория от д. № 10</w:t>
        <w:br/>
        <w:t xml:space="preserve">по ул. 40-летия Победы до ул. Мира, 9</w:t>
      </w:r>
      <w:r>
        <w:rPr>
          <w:rFonts w:ascii="Times New Roman" w:hAnsi="Times New Roman" w:cs="Times New Roman"/>
          <w:sz w:val="28"/>
          <w:szCs w:val="28"/>
        </w:rPr>
        <w:t xml:space="preserve">а (горбольница № 11), до д. № 12 по ул. 40-летия Победы и ул. Мира, территория вдоль ул. Островского от дома № 93 до дома №105а (от автостоянки до коттеджей), пустошь от ул. Чусовская до «Водозабор», снос 69 шт. аварийных деревьев. Компенсационные посадки.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9"/>
      <w:headerReference w:type="even" r:id="rId10"/>
      <w:footerReference w:type="default" r:id="rId11"/>
      <w:footerReference w:type="first" r:id="rId12"/>
      <w:footnotePr/>
      <w:endnotePr/>
      <w:type w:val="nextPage"/>
      <w:pgSz w:w="11906" w:h="16838" w:orient="portrait"/>
      <w:pgMar w:top="1134" w:right="567" w:bottom="1134" w:left="1418" w:header="284" w:footer="680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Open Sans">
    <w:panose1 w:val="020B0606030504020204"/>
  </w:font>
  <w:font w:name="Arial">
    <w:panose1 w:val="020B0604020202020204"/>
  </w:font>
  <w:font w:name="Liberation Sans">
    <w:panose1 w:val="020B0604020202020204"/>
  </w:font>
  <w:font w:name="Tahoma">
    <w:panose1 w:val="020B0604030504040204"/>
  </w:font>
  <w:font w:name="Lohit Devanagari">
    <w:panose1 w:val="020B0600000000000000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68"/>
      <w:rPr>
        <w:rFonts w:ascii="Arial" w:hAnsi="Arial"/>
        <w:sz w:val="16"/>
        <w:lang w:val="en-US"/>
      </w:rPr>
    </w:pPr>
    <w:r>
      <w:rPr>
        <w:rFonts w:ascii="Arial" w:hAnsi="Arial"/>
        <w:sz w:val="16"/>
        <w:lang w:val="en-US"/>
      </w:rPr>
    </w:r>
    <w:r>
      <w:rPr>
        <w:rFonts w:ascii="Arial" w:hAnsi="Arial"/>
        <w:sz w:val="16"/>
        <w:lang w:val="en-US"/>
      </w:rPr>
    </w:r>
    <w:r>
      <w:rPr>
        <w:rFonts w:ascii="Arial" w:hAnsi="Arial"/>
        <w:sz w:val="16"/>
        <w:lang w:val="en-US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67"/>
      <w:jc w:val="center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4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1067"/>
                            <w:rPr>
                              <w:rStyle w:val="1038"/>
                            </w:rPr>
                          </w:pPr>
                          <w:r>
                            <w:rPr>
                              <w:rStyle w:val="1038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1038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1038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1038"/>
                              <w:color w:val="000000"/>
                            </w:rPr>
                            <w:t xml:space="preserve">2</w:t>
                          </w:r>
                          <w:r>
                            <w:rPr>
                              <w:rStyle w:val="1038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1038"/>
                            </w:rPr>
                          </w:r>
                          <w:r>
                            <w:rPr>
                              <w:rStyle w:val="1038"/>
                            </w:rPr>
                          </w:r>
                        </w:p>
                      </w:txbxContent>
                    </wps:txbx>
                    <wps:bodyPr lIns="36000" tIns="36000" rIns="36000" bIns="3600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-4;o:allowoverlap:true;o:allowincell:false;mso-position-horizontal-relative:margin;mso-position-horizontal:center;mso-position-vertical-relative:text;margin-top:0.05pt;mso-position-vertical:absolute;width:5.05pt;height:11.45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1067"/>
                      <w:rPr>
                        <w:rStyle w:val="1038"/>
                      </w:rPr>
                    </w:pPr>
                    <w:r>
                      <w:rPr>
                        <w:rStyle w:val="1038"/>
                        <w:color w:val="000000"/>
                      </w:rPr>
                      <w:fldChar w:fldCharType="begin"/>
                    </w:r>
                    <w:r>
                      <w:rPr>
                        <w:rStyle w:val="1038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1038"/>
                        <w:color w:val="000000"/>
                      </w:rPr>
                      <w:fldChar w:fldCharType="separate"/>
                    </w:r>
                    <w:r>
                      <w:rPr>
                        <w:rStyle w:val="1038"/>
                        <w:color w:val="000000"/>
                      </w:rPr>
                      <w:t xml:space="preserve">2</w:t>
                    </w:r>
                    <w:r>
                      <w:rPr>
                        <w:rStyle w:val="1038"/>
                        <w:color w:val="000000"/>
                      </w:rPr>
                      <w:fldChar w:fldCharType="end"/>
                    </w:r>
                    <w:r>
                      <w:rPr>
                        <w:rStyle w:val="1038"/>
                      </w:rPr>
                    </w:r>
                    <w:r>
                      <w:rPr>
                        <w:rStyle w:val="1038"/>
                      </w:rPr>
                    </w:r>
                  </w:p>
                </w:txbxContent>
              </v:textbox>
            </v:shape>
          </w:pict>
        </mc:Fallback>
      </mc:AlternateConten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67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1067"/>
                            <w:rPr>
                              <w:rStyle w:val="1038"/>
                            </w:rPr>
                          </w:pPr>
                          <w:r>
                            <w:rPr>
                              <w:rStyle w:val="1038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1038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1038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1038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1038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1038"/>
                            </w:rPr>
                          </w:r>
                          <w:r>
                            <w:rPr>
                              <w:rStyle w:val="1038"/>
                            </w:rPr>
                          </w:r>
                        </w:p>
                      </w:txbxContent>
                    </wps:txbx>
                    <wps:bodyPr lIns="36000" tIns="36000" rIns="36000" bIns="3600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" o:spt="1" type="#_x0000_t1" style="position:absolute;z-index:-2;o:allowoverlap:true;o:allowincell:false;mso-position-horizontal-relative:margin;mso-position-horizontal:center;mso-position-vertical-relative:text;margin-top:0.05pt;mso-position-vertical:absolute;width:1.15pt;height:1.15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1067"/>
                      <w:rPr>
                        <w:rStyle w:val="1038"/>
                      </w:rPr>
                    </w:pPr>
                    <w:r>
                      <w:rPr>
                        <w:rStyle w:val="1038"/>
                        <w:color w:val="000000"/>
                      </w:rPr>
                      <w:fldChar w:fldCharType="begin"/>
                    </w:r>
                    <w:r>
                      <w:rPr>
                        <w:rStyle w:val="1038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1038"/>
                        <w:color w:val="000000"/>
                      </w:rPr>
                      <w:fldChar w:fldCharType="separate"/>
                    </w:r>
                    <w:r>
                      <w:rPr>
                        <w:rStyle w:val="1038"/>
                        <w:color w:val="000000"/>
                      </w:rPr>
                      <w:t xml:space="preserve">0</w:t>
                    </w:r>
                    <w:r>
                      <w:rPr>
                        <w:rStyle w:val="1038"/>
                        <w:color w:val="000000"/>
                      </w:rPr>
                      <w:fldChar w:fldCharType="end"/>
                    </w:r>
                    <w:r>
                      <w:rPr>
                        <w:rStyle w:val="1038"/>
                      </w:rPr>
                    </w:r>
                    <w:r>
                      <w:rPr>
                        <w:rStyle w:val="1038"/>
                      </w:rPr>
                    </w:r>
                  </w:p>
                </w:txbxContent>
              </v:textbox>
            </v:shape>
          </w:pict>
        </mc:Fallback>
      </mc:AlternateContent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3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1067"/>
                            <w:rPr>
                              <w:rStyle w:val="1038"/>
                            </w:rPr>
                          </w:pPr>
                          <w:r>
                            <w:rPr>
                              <w:rStyle w:val="1038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1038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1038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1038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1038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1038"/>
                            </w:rPr>
                          </w:r>
                          <w:r>
                            <w:rPr>
                              <w:rStyle w:val="1038"/>
                            </w:rPr>
                          </w:r>
                        </w:p>
                      </w:txbxContent>
                    </wps:txbx>
                    <wps:bodyPr lIns="36000" tIns="36000" rIns="36000" bIns="3600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" o:spid="_x0000_s2" o:spt="1" type="#_x0000_t1" style="position:absolute;z-index:-3;o:allowoverlap:true;o:allowincell:false;mso-position-horizontal-relative:margin;mso-position-horizontal:center;mso-position-vertical-relative:text;margin-top:0.05pt;mso-position-vertical:absolute;width:1.15pt;height:1.15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1067"/>
                      <w:rPr>
                        <w:rStyle w:val="1038"/>
                      </w:rPr>
                    </w:pPr>
                    <w:r>
                      <w:rPr>
                        <w:rStyle w:val="1038"/>
                        <w:color w:val="000000"/>
                      </w:rPr>
                      <w:fldChar w:fldCharType="begin"/>
                    </w:r>
                    <w:r>
                      <w:rPr>
                        <w:rStyle w:val="1038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1038"/>
                        <w:color w:val="000000"/>
                      </w:rPr>
                      <w:fldChar w:fldCharType="separate"/>
                    </w:r>
                    <w:r>
                      <w:rPr>
                        <w:rStyle w:val="1038"/>
                        <w:color w:val="000000"/>
                      </w:rPr>
                      <w:t xml:space="preserve">0</w:t>
                    </w:r>
                    <w:r>
                      <w:rPr>
                        <w:rStyle w:val="1038"/>
                        <w:color w:val="000000"/>
                      </w:rPr>
                      <w:fldChar w:fldCharType="end"/>
                    </w:r>
                    <w:r>
                      <w:rPr>
                        <w:rStyle w:val="1038"/>
                      </w:rPr>
                    </w:r>
                    <w:r>
                      <w:rPr>
                        <w:rStyle w:val="1038"/>
                      </w:rPr>
                    </w:r>
                  </w:p>
                </w:txbxContent>
              </v:textbox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  <w:tabs>
          <w:tab w:val="num" w:pos="144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2880" w:hanging="360"/>
        <w:tabs>
          <w:tab w:val="num" w:pos="288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3240" w:hanging="360"/>
        <w:tabs>
          <w:tab w:val="num" w:pos="324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3600" w:hanging="360"/>
        <w:tabs>
          <w:tab w:val="num" w:pos="360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3960" w:hanging="360"/>
        <w:tabs>
          <w:tab w:val="num" w:pos="39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4320" w:hanging="360"/>
        <w:tabs>
          <w:tab w:val="num" w:pos="4320" w:leader="none"/>
        </w:tabs>
      </w:pPr>
    </w:lvl>
  </w:abstractNum>
  <w:abstractNum w:abstractNumId="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  <w:tabs>
          <w:tab w:val="num" w:pos="0" w:leader="none"/>
        </w:tabs>
      </w:pPr>
      <w:rPr>
        <w:rFonts w:ascii="Times New Roman" w:hAnsi="Times New Roman" w:cs="Times New Roman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rFonts w:ascii="Times New Roman" w:hAnsi="Times New Roman" w:eastAsia="Calibri" w:cs="Times New Roman" w:eastAsiaTheme="minorHAns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rFonts w:ascii="Times New Roman" w:hAnsi="Times New Roman" w:eastAsia="Calibri" w:cs="Times New Roman" w:eastAsiaTheme="minorHAns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rFonts w:ascii="Times New Roman" w:hAnsi="Times New Roman" w:eastAsia="Calibri" w:cs="Times New Roman" w:eastAsiaTheme="minorHAns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rFonts w:ascii="Times New Roman" w:hAnsi="Times New Roman" w:eastAsia="Calibri" w:cs="Times New Roman" w:eastAsiaTheme="minorHAns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  <w:tabs>
          <w:tab w:val="num" w:pos="0" w:leader="none"/>
        </w:tabs>
      </w:pPr>
      <w:rPr>
        <w:rFonts w:ascii="Times New Roman" w:hAnsi="Times New Roman" w:cs="Times New Roman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  <w:tabs>
          <w:tab w:val="num" w:pos="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  <w:tabs>
          <w:tab w:val="num" w:pos="0" w:leader="none"/>
        </w:tabs>
      </w:pPr>
      <w:rPr>
        <w:rFonts w:ascii="Times New Roman" w:hAnsi="Times New Roman" w:cs="Times New Roman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  <w:tabs>
          <w:tab w:val="num" w:pos="0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rFonts w:ascii="Times New Roman" w:hAnsi="Times New Roman" w:eastAsia="Calibri" w:cs="Times New Roman" w:eastAsiaTheme="minorHAns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rFonts w:ascii="Times New Roman" w:hAnsi="Times New Roman" w:eastAsia="Calibri" w:cs="Times New Roman" w:eastAsiaTheme="minorHAns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rFonts w:ascii="Times New Roman" w:hAnsi="Times New Roman" w:eastAsia="Calibri" w:cs="Times New Roman" w:eastAsiaTheme="minorHAns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  <w:tabs>
          <w:tab w:val="num" w:pos="0" w:leader="none"/>
        </w:tabs>
      </w:pPr>
      <w:rPr>
        <w:rFonts w:ascii="Times New Roman" w:hAnsi="Times New Roman" w:cs="Times New Roman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  <w:tabs>
          <w:tab w:val="num" w:pos="0" w:leader="none"/>
        </w:tabs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rFonts w:ascii="Times New Roman" w:hAnsi="Times New Roman" w:eastAsia="Calibri" w:cs="Times New Roman" w:eastAsiaTheme="minorHAns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  <w:tabs>
          <w:tab w:val="num" w:pos="0" w:leader="none"/>
        </w:tabs>
      </w:pPr>
      <w:rPr>
        <w:rFonts w:ascii="Times New Roman" w:hAnsi="Times New Roman" w:cs="Times New Roman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  <w:tabs>
          <w:tab w:val="num" w:pos="0" w:leader="none"/>
        </w:tabs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rFonts w:ascii="Times New Roman" w:hAnsi="Times New Roman" w:eastAsia="Calibri" w:cs="Times New Roman" w:eastAsiaTheme="minorHAns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rFonts w:ascii="Times New Roman" w:hAnsi="Times New Roman" w:eastAsia="Calibri" w:cs="Times New Roman" w:eastAsiaTheme="minorHAns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rFonts w:ascii="Times New Roman" w:hAnsi="Times New Roman" w:eastAsia="Calibri" w:cs="Times New Roman" w:eastAsiaTheme="minorHAns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rFonts w:ascii="Times New Roman" w:hAnsi="Times New Roman" w:eastAsia="Calibri" w:cs="Times New Roman" w:eastAsiaTheme="minorHAns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  <w:tabs>
          <w:tab w:val="num" w:pos="0" w:leader="none"/>
        </w:tabs>
      </w:pPr>
      <w:rPr>
        <w:rFonts w:ascii="Times New Roman" w:hAnsi="Times New Roman" w:cs="Times New Roman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  <w:tabs>
          <w:tab w:val="num" w:pos="0" w:leader="none"/>
        </w:tabs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rFonts w:ascii="Times New Roman" w:hAnsi="Times New Roman" w:eastAsia="Calibri" w:cs="Times New Roman" w:eastAsiaTheme="minorHAns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rFonts w:ascii="Times New Roman" w:hAnsi="Times New Roman" w:eastAsia="Calibri" w:cs="Times New Roman" w:eastAsiaTheme="minorHAns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rFonts w:ascii="Times New Roman" w:hAnsi="Times New Roman" w:eastAsia="Calibri" w:cs="Times New Roman" w:eastAsiaTheme="minorHAns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rFonts w:ascii="Times New Roman" w:hAnsi="Times New Roman" w:eastAsia="Calibri" w:cs="Times New Roman" w:eastAsiaTheme="minorHAns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  <w:tabs>
          <w:tab w:val="num" w:pos="0" w:leader="none"/>
        </w:tabs>
      </w:pPr>
      <w:rPr>
        <w:rFonts w:ascii="Times New Roman" w:hAnsi="Times New Roman" w:cs="Times New Roman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  <w:tabs>
          <w:tab w:val="num" w:pos="0" w:leader="none"/>
        </w:tabs>
      </w:pPr>
      <w:rPr>
        <w:rFonts w:ascii="Times New Roman" w:hAnsi="Times New Roman" w:cs="Times New Roman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  <w:tabs>
          <w:tab w:val="num" w:pos="0" w:leader="none"/>
        </w:tabs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rFonts w:ascii="Times New Roman" w:hAnsi="Times New Roman" w:eastAsia="Calibri" w:cs="Times New Roman" w:eastAsiaTheme="minorHAns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rFonts w:ascii="Times New Roman" w:hAnsi="Times New Roman" w:eastAsia="Calibri" w:cs="Times New Roman" w:eastAsiaTheme="minorHAns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  <w:tabs>
          <w:tab w:val="num" w:pos="0" w:leader="none"/>
        </w:tabs>
      </w:pPr>
      <w:rPr>
        <w:rFonts w:ascii="Times New Roman" w:hAnsi="Times New Roman" w:cs="Times New Roman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  <w:tabs>
          <w:tab w:val="num" w:pos="0" w:leader="none"/>
        </w:tabs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rFonts w:ascii="Times New Roman" w:hAnsi="Times New Roman" w:eastAsia="Calibri" w:cs="Times New Roman" w:eastAsiaTheme="minorHAns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rFonts w:ascii="Times New Roman" w:hAnsi="Times New Roman" w:eastAsia="Calibri" w:cs="Times New Roman" w:eastAsiaTheme="minorHAns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  <w:tabs>
          <w:tab w:val="num" w:pos="0" w:leader="none"/>
        </w:tabs>
      </w:pPr>
      <w:rPr>
        <w:rFonts w:ascii="Times New Roman" w:hAnsi="Times New Roman" w:cs="Times New Roman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  <w:tabs>
          <w:tab w:val="num" w:pos="0" w:leader="none"/>
        </w:tabs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rFonts w:ascii="Times New Roman" w:hAnsi="Times New Roman" w:eastAsia="Calibri" w:cs="Times New Roman" w:eastAsiaTheme="minorHAnsi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rFonts w:ascii="Times New Roman" w:hAnsi="Times New Roman" w:eastAsia="Calibri" w:cs="Times New Roman" w:eastAsiaTheme="minorHAns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rFonts w:ascii="Times New Roman" w:hAnsi="Times New Roman" w:eastAsia="Calibri" w:cs="Times New Roman" w:eastAsiaTheme="minorHAns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  <w:tabs>
          <w:tab w:val="num" w:pos="0" w:leader="none"/>
        </w:tabs>
      </w:pPr>
      <w:rPr>
        <w:rFonts w:ascii="Times New Roman" w:hAnsi="Times New Roman" w:cs="Times New Roman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  <w:tabs>
          <w:tab w:val="num" w:pos="0" w:leader="none"/>
        </w:tabs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  <w:tabs>
          <w:tab w:val="num" w:pos="0" w:leader="none"/>
        </w:tabs>
      </w:pPr>
      <w:rPr>
        <w:rFonts w:ascii="Times New Roman" w:hAnsi="Times New Roman" w:cs="Times New Roman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  <w:tabs>
          <w:tab w:val="num" w:pos="0" w:leader="none"/>
        </w:tabs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  <w:tabs>
          <w:tab w:val="num" w:pos="0" w:leader="none"/>
        </w:tabs>
      </w:pPr>
      <w:rPr>
        <w:rFonts w:ascii="Times New Roman" w:hAnsi="Times New Roman" w:cs="Times New Roman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  <w:tabs>
          <w:tab w:val="num" w:pos="0" w:leader="none"/>
        </w:tabs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rFonts w:ascii="Times New Roman" w:hAnsi="Times New Roman" w:eastAsia="Calibri" w:cs="Times New Roman" w:eastAsiaTheme="minorHAns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rFonts w:ascii="Times New Roman" w:hAnsi="Times New Roman" w:eastAsia="Calibri" w:cs="Times New Roman" w:eastAsiaTheme="minorHAns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rFonts w:ascii="Times New Roman" w:hAnsi="Times New Roman" w:eastAsia="Calibri" w:cs="Times New Roman" w:eastAsiaTheme="minorHAns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rFonts w:ascii="Times New Roman" w:hAnsi="Times New Roman" w:eastAsia="Calibri" w:cs="Times New Roman" w:eastAsiaTheme="minorHAns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rFonts w:ascii="Times New Roman" w:hAnsi="Times New Roman" w:eastAsia="Calibri" w:cs="Times New Roman" w:eastAsiaTheme="minorHAns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rFonts w:ascii="Times New Roman" w:hAnsi="Times New Roman" w:eastAsia="Calibri" w:cs="Times New Roman" w:eastAsiaTheme="minorHAns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Tahoma" w:cs="Lohit Devanagar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87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7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8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88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88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8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8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0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90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90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91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91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91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91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91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91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91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91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91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1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2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2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2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2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2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2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2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4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4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4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4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4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4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4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6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6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6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6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6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6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6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7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7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7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7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7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7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7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97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97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97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98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98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98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98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8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8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8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8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8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8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9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9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9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9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9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9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9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9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9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9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00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00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00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00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004" w:default="1">
    <w:name w:val="Normal"/>
    <w:qFormat/>
    <w:pPr>
      <w:jc w:val="left"/>
      <w:spacing w:before="0" w:after="0"/>
      <w:widowControl/>
    </w:pPr>
    <w:rPr>
      <w:rFonts w:ascii="Times New Roman" w:hAnsi="Times New Roman" w:eastAsia="Tahoma" w:cs="Lohit Devanagari"/>
      <w:color w:val="auto"/>
      <w:sz w:val="20"/>
      <w:szCs w:val="20"/>
      <w:lang w:val="ru-RU" w:eastAsia="ru-RU" w:bidi="ar-SA"/>
    </w:rPr>
  </w:style>
  <w:style w:type="paragraph" w:styleId="1005" w:customStyle="1">
    <w:name w:val="Heading 1"/>
    <w:qFormat/>
    <w:pPr>
      <w:ind w:left="0" w:right="0" w:firstLine="0"/>
      <w:jc w:val="center"/>
      <w:keepLines w:val="0"/>
      <w:keepNext/>
      <w:pageBreakBefore w:val="0"/>
      <w:spacing w:before="0" w:beforeAutospacing="0" w:after="0" w:afterAutospacing="0" w:line="240" w:lineRule="auto"/>
      <w:shd w:val="nil"/>
      <w:widowControl/>
      <w:outlineLvl w:val="0"/>
    </w:pPr>
    <w:rPr>
      <w:rFonts w:ascii="Times New Roman" w:hAnsi="Times New Roman" w:eastAsia="Times New Roman" w:cs="Times New Roman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u w:val="none"/>
      <w:vertAlign w:val="baseline"/>
      <w:lang w:val="ru-RU" w:eastAsia="ru-RU" w:bidi="ar-SA"/>
      <w14:ligatures w14:val="none"/>
    </w:rPr>
  </w:style>
  <w:style w:type="paragraph" w:styleId="1006">
    <w:name w:val="Heading 2"/>
    <w:basedOn w:val="1004"/>
    <w:qFormat/>
    <w:pPr>
      <w:jc w:val="center"/>
      <w:keepNext/>
      <w:outlineLvl w:val="1"/>
    </w:pPr>
    <w:rPr>
      <w:sz w:val="24"/>
    </w:rPr>
  </w:style>
  <w:style w:type="paragraph" w:styleId="1007">
    <w:name w:val="Heading 3"/>
    <w:basedOn w:val="100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1008">
    <w:name w:val="Heading 4"/>
    <w:basedOn w:val="100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1009">
    <w:name w:val="Heading 5"/>
    <w:basedOn w:val="100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1010">
    <w:name w:val="Heading 6"/>
    <w:basedOn w:val="100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1011">
    <w:name w:val="Heading 7"/>
    <w:basedOn w:val="100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1012">
    <w:name w:val="Heading 8"/>
    <w:basedOn w:val="100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13">
    <w:name w:val="Heading 9"/>
    <w:basedOn w:val="100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1014">
    <w:name w:val="Heading 1 Char"/>
    <w:basedOn w:val="1036"/>
    <w:uiPriority w:val="9"/>
    <w:qFormat/>
    <w:rPr>
      <w:rFonts w:ascii="Arial" w:hAnsi="Arial" w:eastAsia="Arial" w:cs="Arial"/>
      <w:sz w:val="40"/>
      <w:szCs w:val="40"/>
    </w:rPr>
  </w:style>
  <w:style w:type="character" w:styleId="1015">
    <w:name w:val="Heading 2 Char"/>
    <w:basedOn w:val="1036"/>
    <w:uiPriority w:val="9"/>
    <w:qFormat/>
    <w:rPr>
      <w:rFonts w:ascii="Arial" w:hAnsi="Arial" w:eastAsia="Arial" w:cs="Arial"/>
      <w:sz w:val="34"/>
    </w:rPr>
  </w:style>
  <w:style w:type="character" w:styleId="1016">
    <w:name w:val="Heading 3 Char"/>
    <w:basedOn w:val="1036"/>
    <w:uiPriority w:val="9"/>
    <w:qFormat/>
    <w:rPr>
      <w:rFonts w:ascii="Arial" w:hAnsi="Arial" w:eastAsia="Arial" w:cs="Arial"/>
      <w:sz w:val="30"/>
      <w:szCs w:val="30"/>
    </w:rPr>
  </w:style>
  <w:style w:type="character" w:styleId="1017">
    <w:name w:val="Heading 4 Char"/>
    <w:basedOn w:val="1036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1018">
    <w:name w:val="Heading 5 Char"/>
    <w:basedOn w:val="1036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1019">
    <w:name w:val="Heading 6 Char"/>
    <w:basedOn w:val="1036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1020">
    <w:name w:val="Heading 7 Char"/>
    <w:basedOn w:val="1036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1021">
    <w:name w:val="Heading 8 Char"/>
    <w:basedOn w:val="1036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1022">
    <w:name w:val="Heading 9 Char"/>
    <w:basedOn w:val="1036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1023">
    <w:name w:val="Title Char"/>
    <w:basedOn w:val="1036"/>
    <w:uiPriority w:val="10"/>
    <w:qFormat/>
    <w:rPr>
      <w:sz w:val="48"/>
      <w:szCs w:val="48"/>
    </w:rPr>
  </w:style>
  <w:style w:type="character" w:styleId="1024">
    <w:name w:val="Subtitle Char"/>
    <w:basedOn w:val="1036"/>
    <w:uiPriority w:val="11"/>
    <w:qFormat/>
    <w:rPr>
      <w:sz w:val="24"/>
      <w:szCs w:val="24"/>
    </w:rPr>
  </w:style>
  <w:style w:type="character" w:styleId="1025">
    <w:name w:val="Quote Char"/>
    <w:uiPriority w:val="29"/>
    <w:qFormat/>
    <w:rPr>
      <w:i/>
    </w:rPr>
  </w:style>
  <w:style w:type="character" w:styleId="1026">
    <w:name w:val="Intense Quote Char"/>
    <w:uiPriority w:val="30"/>
    <w:qFormat/>
    <w:rPr>
      <w:i/>
    </w:rPr>
  </w:style>
  <w:style w:type="character" w:styleId="1027">
    <w:name w:val="Header Char"/>
    <w:basedOn w:val="1036"/>
    <w:uiPriority w:val="99"/>
    <w:qFormat/>
  </w:style>
  <w:style w:type="character" w:styleId="1028">
    <w:name w:val="Footer Char"/>
    <w:basedOn w:val="1036"/>
    <w:uiPriority w:val="99"/>
    <w:qFormat/>
  </w:style>
  <w:style w:type="character" w:styleId="1029">
    <w:name w:val="Caption Char"/>
    <w:uiPriority w:val="99"/>
    <w:qFormat/>
  </w:style>
  <w:style w:type="character" w:styleId="1030">
    <w:name w:val="Footnote Text Char"/>
    <w:uiPriority w:val="99"/>
    <w:qFormat/>
    <w:rPr>
      <w:sz w:val="18"/>
    </w:rPr>
  </w:style>
  <w:style w:type="character" w:styleId="1031">
    <w:name w:val="Символ сноски"/>
    <w:uiPriority w:val="99"/>
    <w:unhideWhenUsed/>
    <w:qFormat/>
    <w:rPr>
      <w:vertAlign w:val="superscript"/>
    </w:rPr>
  </w:style>
  <w:style w:type="character" w:styleId="1032">
    <w:name w:val="footnote reference"/>
    <w:rPr>
      <w:vertAlign w:val="superscript"/>
    </w:rPr>
  </w:style>
  <w:style w:type="character" w:styleId="1033">
    <w:name w:val="Endnote Text Char"/>
    <w:uiPriority w:val="99"/>
    <w:qFormat/>
    <w:rPr>
      <w:sz w:val="20"/>
    </w:rPr>
  </w:style>
  <w:style w:type="character" w:styleId="1034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1035">
    <w:name w:val="endnote reference"/>
    <w:rPr>
      <w:vertAlign w:val="superscript"/>
    </w:rPr>
  </w:style>
  <w:style w:type="character" w:styleId="1036" w:default="1">
    <w:name w:val="Default Paragraph Font"/>
    <w:semiHidden/>
    <w:qFormat/>
  </w:style>
  <w:style w:type="character" w:styleId="1037">
    <w:name w:val="Hyperlink"/>
    <w:rPr>
      <w:color w:val="0000ff"/>
      <w:u w:val="single"/>
    </w:rPr>
  </w:style>
  <w:style w:type="character" w:styleId="1038">
    <w:name w:val="page number"/>
    <w:basedOn w:val="1036"/>
    <w:qFormat/>
  </w:style>
  <w:style w:type="character" w:styleId="1039" w:customStyle="1">
    <w:name w:val="Текст выноски Знак"/>
    <w:qFormat/>
    <w:rPr>
      <w:rFonts w:ascii="Tahoma" w:hAnsi="Tahoma" w:cs="Tahoma"/>
      <w:sz w:val="16"/>
      <w:szCs w:val="16"/>
    </w:rPr>
  </w:style>
  <w:style w:type="character" w:styleId="1040">
    <w:name w:val="Символ нумерации"/>
    <w:qFormat/>
  </w:style>
  <w:style w:type="paragraph" w:styleId="1041">
    <w:name w:val="Заголовок"/>
    <w:basedOn w:val="1004"/>
    <w:next w:val="1042"/>
    <w:qFormat/>
    <w:pPr>
      <w:keepNext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1042">
    <w:name w:val="Body Text"/>
    <w:basedOn w:val="1004"/>
    <w:rPr>
      <w:sz w:val="28"/>
    </w:rPr>
  </w:style>
  <w:style w:type="paragraph" w:styleId="1043">
    <w:name w:val="List"/>
    <w:basedOn w:val="1042"/>
    <w:rPr>
      <w:rFonts w:cs="Lohit Devanagari"/>
    </w:rPr>
  </w:style>
  <w:style w:type="paragraph" w:styleId="1044">
    <w:name w:val="Caption"/>
    <w:basedOn w:val="1004"/>
    <w:link w:val="102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1045">
    <w:name w:val="Указатель"/>
    <w:basedOn w:val="1004"/>
    <w:qFormat/>
    <w:pPr>
      <w:suppressLineNumbers/>
    </w:pPr>
    <w:rPr>
      <w:rFonts w:cs="Lohit Devanagari"/>
    </w:rPr>
  </w:style>
  <w:style w:type="paragraph" w:styleId="1046">
    <w:name w:val="List Paragraph"/>
    <w:basedOn w:val="1004"/>
    <w:uiPriority w:val="34"/>
    <w:qFormat/>
    <w:pPr>
      <w:contextualSpacing/>
      <w:ind w:left="720"/>
      <w:spacing w:before="0" w:after="0"/>
    </w:pPr>
  </w:style>
  <w:style w:type="paragraph" w:styleId="1047">
    <w:name w:val="No Spacing"/>
    <w:uiPriority w:val="1"/>
    <w:qFormat/>
    <w:pPr>
      <w:jc w:val="left"/>
      <w:spacing w:before="0" w:after="0" w:line="240" w:lineRule="auto"/>
      <w:widowControl/>
    </w:pPr>
    <w:rPr>
      <w:rFonts w:ascii="Times New Roman" w:hAnsi="Times New Roman" w:eastAsia="Tahoma" w:cs="Lohit Devanagari"/>
      <w:color w:val="auto"/>
      <w:sz w:val="20"/>
      <w:szCs w:val="20"/>
      <w:lang w:val="ru-RU" w:eastAsia="ru-RU" w:bidi="ar-SA"/>
    </w:rPr>
  </w:style>
  <w:style w:type="paragraph" w:styleId="1048">
    <w:name w:val="Title"/>
    <w:basedOn w:val="1004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1049">
    <w:name w:val="Subtitle"/>
    <w:basedOn w:val="1004"/>
    <w:uiPriority w:val="11"/>
    <w:qFormat/>
    <w:pPr>
      <w:spacing w:before="200" w:after="200"/>
    </w:pPr>
    <w:rPr>
      <w:sz w:val="24"/>
      <w:szCs w:val="24"/>
    </w:rPr>
  </w:style>
  <w:style w:type="paragraph" w:styleId="1050">
    <w:name w:val="Quote"/>
    <w:basedOn w:val="1004"/>
    <w:uiPriority w:val="29"/>
    <w:qFormat/>
    <w:pPr>
      <w:ind w:left="720" w:right="720"/>
    </w:pPr>
    <w:rPr>
      <w:i/>
    </w:rPr>
  </w:style>
  <w:style w:type="paragraph" w:styleId="1051">
    <w:name w:val="Intense Quote"/>
    <w:basedOn w:val="1004"/>
    <w:uiPriority w:val="30"/>
    <w:qFormat/>
    <w:pPr>
      <w:ind w:left="720" w:right="72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1052">
    <w:name w:val="footnote text"/>
    <w:basedOn w:val="1004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1053">
    <w:name w:val="endnote text"/>
    <w:basedOn w:val="1004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1054">
    <w:name w:val="toc 1"/>
    <w:basedOn w:val="1004"/>
    <w:uiPriority w:val="39"/>
    <w:unhideWhenUsed/>
    <w:pPr>
      <w:ind w:left="0" w:right="0" w:firstLine="0"/>
      <w:spacing w:before="0" w:after="57"/>
    </w:pPr>
  </w:style>
  <w:style w:type="paragraph" w:styleId="1055">
    <w:name w:val="toc 2"/>
    <w:basedOn w:val="1004"/>
    <w:uiPriority w:val="39"/>
    <w:unhideWhenUsed/>
    <w:pPr>
      <w:ind w:left="283" w:right="0" w:firstLine="0"/>
      <w:spacing w:before="0" w:after="57"/>
    </w:pPr>
  </w:style>
  <w:style w:type="paragraph" w:styleId="1056">
    <w:name w:val="toc 3"/>
    <w:basedOn w:val="1004"/>
    <w:uiPriority w:val="39"/>
    <w:unhideWhenUsed/>
    <w:pPr>
      <w:ind w:left="567" w:right="0" w:firstLine="0"/>
      <w:spacing w:before="0" w:after="57"/>
    </w:pPr>
  </w:style>
  <w:style w:type="paragraph" w:styleId="1057">
    <w:name w:val="toc 4"/>
    <w:basedOn w:val="1004"/>
    <w:uiPriority w:val="39"/>
    <w:unhideWhenUsed/>
    <w:pPr>
      <w:ind w:left="850" w:right="0" w:firstLine="0"/>
      <w:spacing w:before="0" w:after="57"/>
    </w:pPr>
  </w:style>
  <w:style w:type="paragraph" w:styleId="1058">
    <w:name w:val="toc 5"/>
    <w:basedOn w:val="1004"/>
    <w:uiPriority w:val="39"/>
    <w:unhideWhenUsed/>
    <w:pPr>
      <w:ind w:left="1134" w:right="0" w:firstLine="0"/>
      <w:spacing w:before="0" w:after="57"/>
    </w:pPr>
  </w:style>
  <w:style w:type="paragraph" w:styleId="1059">
    <w:name w:val="toc 6"/>
    <w:basedOn w:val="1004"/>
    <w:uiPriority w:val="39"/>
    <w:unhideWhenUsed/>
    <w:pPr>
      <w:ind w:left="1417" w:right="0" w:firstLine="0"/>
      <w:spacing w:before="0" w:after="57"/>
    </w:pPr>
  </w:style>
  <w:style w:type="paragraph" w:styleId="1060">
    <w:name w:val="toc 7"/>
    <w:basedOn w:val="1004"/>
    <w:uiPriority w:val="39"/>
    <w:unhideWhenUsed/>
    <w:pPr>
      <w:ind w:left="1701" w:right="0" w:firstLine="0"/>
      <w:spacing w:before="0" w:after="57"/>
    </w:pPr>
  </w:style>
  <w:style w:type="paragraph" w:styleId="1061">
    <w:name w:val="toc 8"/>
    <w:basedOn w:val="1004"/>
    <w:uiPriority w:val="39"/>
    <w:unhideWhenUsed/>
    <w:pPr>
      <w:ind w:left="1984" w:right="0" w:firstLine="0"/>
      <w:spacing w:before="0" w:after="57"/>
    </w:pPr>
  </w:style>
  <w:style w:type="paragraph" w:styleId="1062">
    <w:name w:val="toc 9"/>
    <w:basedOn w:val="1004"/>
    <w:uiPriority w:val="39"/>
    <w:unhideWhenUsed/>
    <w:pPr>
      <w:ind w:left="2268" w:right="0" w:firstLine="0"/>
      <w:spacing w:before="0" w:after="57"/>
    </w:pPr>
  </w:style>
  <w:style w:type="paragraph" w:styleId="1063">
    <w:name w:val="Index Heading"/>
    <w:basedOn w:val="1041"/>
  </w:style>
  <w:style w:type="paragraph" w:styleId="1064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Tahoma" w:cs="Lohit Devanagari"/>
      <w:color w:val="auto"/>
      <w:sz w:val="20"/>
      <w:szCs w:val="20"/>
      <w:lang w:val="ru-RU" w:eastAsia="ru-RU" w:bidi="ar-SA"/>
    </w:rPr>
  </w:style>
  <w:style w:type="paragraph" w:styleId="1065">
    <w:name w:val="table of figures"/>
    <w:basedOn w:val="1004"/>
    <w:uiPriority w:val="99"/>
    <w:unhideWhenUsed/>
    <w:pPr>
      <w:spacing w:before="0" w:after="0" w:afterAutospacing="0"/>
    </w:pPr>
  </w:style>
  <w:style w:type="paragraph" w:styleId="1066">
    <w:name w:val="Колонтитул"/>
    <w:basedOn w:val="1004"/>
    <w:qFormat/>
  </w:style>
  <w:style w:type="paragraph" w:styleId="1067">
    <w:name w:val="Header"/>
    <w:basedOn w:val="1004"/>
    <w:pPr>
      <w:tabs>
        <w:tab w:val="clear" w:pos="720" w:leader="none"/>
        <w:tab w:val="center" w:pos="4153" w:leader="none"/>
        <w:tab w:val="right" w:pos="8306" w:leader="none"/>
      </w:tabs>
    </w:pPr>
  </w:style>
  <w:style w:type="paragraph" w:styleId="1068">
    <w:name w:val="Footer"/>
    <w:basedOn w:val="1004"/>
    <w:pPr>
      <w:tabs>
        <w:tab w:val="clear" w:pos="720" w:leader="none"/>
        <w:tab w:val="center" w:pos="4153" w:leader="none"/>
        <w:tab w:val="right" w:pos="8306" w:leader="none"/>
      </w:tabs>
    </w:pPr>
  </w:style>
  <w:style w:type="paragraph" w:styleId="1069">
    <w:name w:val="Balloon Text"/>
    <w:basedOn w:val="1004"/>
    <w:qFormat/>
    <w:rPr>
      <w:rFonts w:ascii="Tahoma" w:hAnsi="Tahoma" w:cs="Tahoma"/>
      <w:sz w:val="16"/>
      <w:szCs w:val="16"/>
    </w:rPr>
  </w:style>
  <w:style w:type="paragraph" w:styleId="1070">
    <w:name w:val="Содержимое врезки"/>
    <w:basedOn w:val="1004"/>
    <w:qFormat/>
  </w:style>
  <w:style w:type="numbering" w:styleId="1071" w:default="1">
    <w:name w:val="No List"/>
    <w:semiHidden/>
    <w:qFormat/>
  </w:style>
  <w:style w:type="table" w:styleId="107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города</Company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dc:description/>
  <dc:language>ru-RU</dc:language>
  <cp:lastModifiedBy>kutasheva-av</cp:lastModifiedBy>
  <cp:revision>47</cp:revision>
  <dcterms:created xsi:type="dcterms:W3CDTF">2024-07-26T05:32:00Z</dcterms:created>
  <dcterms:modified xsi:type="dcterms:W3CDTF">2026-08-17T12:44:54Z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