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28"/>
        <w:ind w:left="0" w:right="0" w:firstLine="0"/>
        <w:jc w:val="center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</w:rPr>
        <w:t xml:space="preserve">Перечень объектов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028"/>
        <w:ind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Дзержинский район, ул. Фридриха Энгельса, 25, ул. Челюскинцев, 16, по ул. Хохрякова около </w:t>
      </w:r>
      <w:r>
        <w:rPr>
          <w:rFonts w:ascii="Times New Roman" w:hAnsi="Times New Roman" w:cs="Times New Roman"/>
          <w:sz w:val="28"/>
          <w:szCs w:val="28"/>
        </w:rPr>
        <w:t xml:space="preserve">Экстрим — парк, ул. Подлесная, 19А, ул. Машинистов, 46, ул. Челюскинцев, 11 — 19, ул. Локомотивная, пр. Парковый, 17, 28, 32, ул. Толмачева, 39, ул. Блюхера, 3, снос 18 шт. аварийных деревьев. Компенсационные посадки.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Индустриальный район,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9-го Мая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27 (к.н. 59:01:4410719:1)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аварийное, 1 шт.,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Индустриальный район, ул. Мира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76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аварийное, 1 шт.,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Индустриальный район,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9-го Мая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27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аварийное, 1 шт.,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Индустриальный район, ул. Мира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78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аварийные, 8 шт.,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Индустриальный район, ул. Одоевского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29,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аварийные, 13 шт.,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Индустриальный район, ул. Мира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82а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аварийные, 4 шт.,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Кировский район, ул. Вольская, снос 5 шт. аварийных деревьев. Компенсационные посадки.</w:t>
      </w:r>
      <w:r/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Мотовилихинский район, ул. 3-я Линия, 67а, 69, снос 7 шт. аварийных деревьев. Компенсационные посадки.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Мотовилихинский район,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муниципальных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земельных участках с кадастровыми номерами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59:01:3911472:151 и 59:01:3911472:152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аварийные, 10 шт., 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Мотовилихинский район,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Гашкова, 22 и ул. Гашкова, 23б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аварийные, 7 шт., 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Мотовилихинский район,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Гарцовская, 29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аварийные, 3 шт., 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Мотовилихинский район,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Зеленая, 101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аварийные, 3 шт., компенсационные посадки.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91"/>
        <w:numPr>
          <w:ilvl w:val="0"/>
          <w:numId w:val="57"/>
        </w:numPr>
        <w:jc w:val="both"/>
        <w:tabs>
          <w:tab w:val="clear" w:pos="4153" w:leader="none"/>
          <w:tab w:val="clear" w:pos="8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Орджоникидзевский район, Северный пер., з/у 11, снос 100 кв.м. поросли в связи с подготовкой к строительству индивидуального жилого дома. Восстановительная стоимость.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91"/>
        <w:numPr>
          <w:ilvl w:val="0"/>
          <w:numId w:val="57"/>
        </w:numPr>
        <w:jc w:val="both"/>
        <w:tabs>
          <w:tab w:val="clear" w:pos="4153" w:leader="none"/>
          <w:tab w:val="clear" w:pos="8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Орджоникидзевский район, Северный пер., з/у 13, снос 100 кв.м. поросли в связи с подготовкой к строительству индивидуального жилого дома. Восстановительная стоимость.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91"/>
        <w:numPr>
          <w:ilvl w:val="0"/>
          <w:numId w:val="57"/>
        </w:numPr>
        <w:jc w:val="both"/>
        <w:tabs>
          <w:tab w:val="clear" w:pos="4153" w:leader="none"/>
          <w:tab w:val="clear" w:pos="8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Орджоникидзевский район, ул. Сиреневая, 19а, Кухтымский пер., 17, ул. Шлюпочная, 19, ул. Кубанская, 85, снос 6 шт. аварийных и сухостойных деревьев. Компенсационные посадки.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Орджоникидзевский район, ул. Социалистическая, з/у 22, снос 70 шт. </w:t>
      </w:r>
      <w:r>
        <w:rPr>
          <w:sz w:val="28"/>
          <w:szCs w:val="28"/>
        </w:rPr>
        <w:t xml:space="preserve">деревьев </w:t>
      </w:r>
      <w:r>
        <w:rPr>
          <w:sz w:val="28"/>
          <w:szCs w:val="28"/>
        </w:rPr>
        <w:t xml:space="preserve">(35 аварийных, 35 в связи с подготовительными работами к строительству многоквартирного жилого дома). Компенсационные посадки. Восстановительная стоимость.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70"/>
        <w:numPr>
          <w:ilvl w:val="0"/>
          <w:numId w:val="57"/>
        </w:num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sz w:val="28"/>
          <w:szCs w:val="28"/>
        </w:rPr>
        <w:t xml:space="preserve">Свердловский район, ул. Пушкина, 61, снос 1 дерева в связи со строительством линейного объекта. Компенсационные посадки.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567" w:bottom="1134" w:left="1418" w:header="284" w:footer="68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Open Sans">
    <w:panose1 w:val="020B0606030504020204"/>
  </w:font>
  <w:font w:name="Arial">
    <w:panose1 w:val="020B0604020202020204"/>
  </w:font>
  <w:font w:name="Liberation Sans">
    <w:panose1 w:val="020B0604020202020204"/>
  </w:font>
  <w:font w:name="Tahoma">
    <w:panose1 w:val="020B06040305040402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2"/>
      <w:rPr>
        <w:rFonts w:ascii="Arial" w:hAnsi="Arial"/>
        <w:sz w:val="16"/>
        <w:lang w:val="en-US"/>
      </w:rPr>
    </w:pP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1"/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91"/>
                            <w:rPr>
                              <w:rStyle w:val="1062"/>
                            </w:rPr>
                          </w:pPr>
                          <w:r>
                            <w:rPr>
                              <w:rStyle w:val="106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t xml:space="preserve">2</w:t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62"/>
                            </w:rPr>
                          </w:r>
                          <w:r>
                            <w:rPr>
                              <w:rStyle w:val="1062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4;o:allowoverlap:true;o:allowincell:false;mso-position-horizontal-relative:margin;mso-position-horizontal:center;mso-position-vertical-relative:text;margin-top:0.05pt;mso-position-vertical:absolute;width:5.05pt;height:11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91"/>
                      <w:rPr>
                        <w:rStyle w:val="1062"/>
                      </w:rPr>
                    </w:pPr>
                    <w:r>
                      <w:rPr>
                        <w:rStyle w:val="1062"/>
                        <w:color w:val="000000"/>
                      </w:rPr>
                      <w:fldChar w:fldCharType="begin"/>
                    </w:r>
                    <w:r>
                      <w:rPr>
                        <w:rStyle w:val="106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62"/>
                        <w:color w:val="000000"/>
                      </w:rPr>
                      <w:fldChar w:fldCharType="separate"/>
                    </w:r>
                    <w:r>
                      <w:rPr>
                        <w:rStyle w:val="1062"/>
                        <w:color w:val="000000"/>
                      </w:rPr>
                      <w:t xml:space="preserve">2</w:t>
                    </w:r>
                    <w:r>
                      <w:rPr>
                        <w:rStyle w:val="1062"/>
                        <w:color w:val="000000"/>
                      </w:rPr>
                      <w:fldChar w:fldCharType="end"/>
                    </w:r>
                    <w:r>
                      <w:rPr>
                        <w:rStyle w:val="1062"/>
                      </w:rPr>
                    </w:r>
                    <w:r>
                      <w:rPr>
                        <w:rStyle w:val="1062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1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91"/>
                            <w:rPr>
                              <w:rStyle w:val="1062"/>
                            </w:rPr>
                          </w:pPr>
                          <w:r>
                            <w:rPr>
                              <w:rStyle w:val="106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62"/>
                            </w:rPr>
                          </w:r>
                          <w:r>
                            <w:rPr>
                              <w:rStyle w:val="1062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91"/>
                      <w:rPr>
                        <w:rStyle w:val="1062"/>
                      </w:rPr>
                    </w:pPr>
                    <w:r>
                      <w:rPr>
                        <w:rStyle w:val="1062"/>
                        <w:color w:val="000000"/>
                      </w:rPr>
                      <w:fldChar w:fldCharType="begin"/>
                    </w:r>
                    <w:r>
                      <w:rPr>
                        <w:rStyle w:val="106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62"/>
                        <w:color w:val="000000"/>
                      </w:rPr>
                      <w:fldChar w:fldCharType="separate"/>
                    </w:r>
                    <w:r>
                      <w:rPr>
                        <w:rStyle w:val="1062"/>
                        <w:color w:val="000000"/>
                      </w:rPr>
                      <w:t xml:space="preserve">0</w:t>
                    </w:r>
                    <w:r>
                      <w:rPr>
                        <w:rStyle w:val="1062"/>
                        <w:color w:val="000000"/>
                      </w:rPr>
                      <w:fldChar w:fldCharType="end"/>
                    </w:r>
                    <w:r>
                      <w:rPr>
                        <w:rStyle w:val="1062"/>
                      </w:rPr>
                    </w:r>
                    <w:r>
                      <w:rPr>
                        <w:rStyle w:val="1062"/>
                      </w:rPr>
                    </w:r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91"/>
                            <w:rPr>
                              <w:rStyle w:val="1062"/>
                            </w:rPr>
                          </w:pPr>
                          <w:r>
                            <w:rPr>
                              <w:rStyle w:val="106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1062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1062"/>
                            </w:rPr>
                          </w:r>
                          <w:r>
                            <w:rPr>
                              <w:rStyle w:val="1062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3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91"/>
                      <w:rPr>
                        <w:rStyle w:val="1062"/>
                      </w:rPr>
                    </w:pPr>
                    <w:r>
                      <w:rPr>
                        <w:rStyle w:val="1062"/>
                        <w:color w:val="000000"/>
                      </w:rPr>
                      <w:fldChar w:fldCharType="begin"/>
                    </w:r>
                    <w:r>
                      <w:rPr>
                        <w:rStyle w:val="106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62"/>
                        <w:color w:val="000000"/>
                      </w:rPr>
                      <w:fldChar w:fldCharType="separate"/>
                    </w:r>
                    <w:r>
                      <w:rPr>
                        <w:rStyle w:val="1062"/>
                        <w:color w:val="000000"/>
                      </w:rPr>
                      <w:t xml:space="preserve">0</w:t>
                    </w:r>
                    <w:r>
                      <w:rPr>
                        <w:rStyle w:val="1062"/>
                        <w:color w:val="000000"/>
                      </w:rPr>
                      <w:fldChar w:fldCharType="end"/>
                    </w:r>
                    <w:r>
                      <w:rPr>
                        <w:rStyle w:val="1062"/>
                      </w:rPr>
                    </w:r>
                    <w:r>
                      <w:rPr>
                        <w:rStyle w:val="1062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880" w:hanging="360"/>
        <w:tabs>
          <w:tab w:val="num" w:pos="288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240" w:hanging="360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600" w:hanging="36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960" w:hanging="360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4320" w:hanging="360"/>
        <w:tabs>
          <w:tab w:val="num" w:pos="432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0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3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4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4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4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4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4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4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4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4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5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5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7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7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0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00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00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00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00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00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00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00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0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1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1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1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2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2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28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1029" w:customStyle="1">
    <w:name w:val="Heading 1"/>
    <w:qFormat/>
    <w:pPr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outlineLvl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u w:val="none"/>
      <w:vertAlign w:val="baseline"/>
      <w:lang w:val="ru-RU" w:eastAsia="ru-RU" w:bidi="ar-SA"/>
      <w14:ligatures w14:val="none"/>
    </w:rPr>
  </w:style>
  <w:style w:type="paragraph" w:styleId="1030">
    <w:name w:val="Heading 2"/>
    <w:basedOn w:val="1028"/>
    <w:qFormat/>
    <w:pPr>
      <w:jc w:val="center"/>
      <w:keepNext/>
      <w:outlineLvl w:val="1"/>
    </w:pPr>
    <w:rPr>
      <w:sz w:val="24"/>
    </w:rPr>
  </w:style>
  <w:style w:type="paragraph" w:styleId="1031">
    <w:name w:val="Heading 3"/>
    <w:basedOn w:val="10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032">
    <w:name w:val="Heading 4"/>
    <w:basedOn w:val="10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033">
    <w:name w:val="Heading 5"/>
    <w:basedOn w:val="102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034">
    <w:name w:val="Heading 6"/>
    <w:basedOn w:val="10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035">
    <w:name w:val="Heading 7"/>
    <w:basedOn w:val="10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036">
    <w:name w:val="Heading 8"/>
    <w:basedOn w:val="10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37">
    <w:name w:val="Heading 9"/>
    <w:basedOn w:val="10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38">
    <w:name w:val="Heading 1 Char"/>
    <w:basedOn w:val="1060"/>
    <w:uiPriority w:val="9"/>
    <w:qFormat/>
    <w:rPr>
      <w:rFonts w:ascii="Arial" w:hAnsi="Arial" w:eastAsia="Arial" w:cs="Arial"/>
      <w:sz w:val="40"/>
      <w:szCs w:val="40"/>
    </w:rPr>
  </w:style>
  <w:style w:type="character" w:styleId="1039">
    <w:name w:val="Heading 2 Char"/>
    <w:basedOn w:val="1060"/>
    <w:uiPriority w:val="9"/>
    <w:qFormat/>
    <w:rPr>
      <w:rFonts w:ascii="Arial" w:hAnsi="Arial" w:eastAsia="Arial" w:cs="Arial"/>
      <w:sz w:val="34"/>
    </w:rPr>
  </w:style>
  <w:style w:type="character" w:styleId="1040">
    <w:name w:val="Heading 3 Char"/>
    <w:basedOn w:val="1060"/>
    <w:uiPriority w:val="9"/>
    <w:qFormat/>
    <w:rPr>
      <w:rFonts w:ascii="Arial" w:hAnsi="Arial" w:eastAsia="Arial" w:cs="Arial"/>
      <w:sz w:val="30"/>
      <w:szCs w:val="30"/>
    </w:rPr>
  </w:style>
  <w:style w:type="character" w:styleId="1041">
    <w:name w:val="Heading 4 Char"/>
    <w:basedOn w:val="106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1042">
    <w:name w:val="Heading 5 Char"/>
    <w:basedOn w:val="106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1043">
    <w:name w:val="Heading 6 Char"/>
    <w:basedOn w:val="106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1044">
    <w:name w:val="Heading 7 Char"/>
    <w:basedOn w:val="106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1045">
    <w:name w:val="Heading 8 Char"/>
    <w:basedOn w:val="106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1046">
    <w:name w:val="Heading 9 Char"/>
    <w:basedOn w:val="106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047">
    <w:name w:val="Title Char"/>
    <w:basedOn w:val="1060"/>
    <w:uiPriority w:val="10"/>
    <w:qFormat/>
    <w:rPr>
      <w:sz w:val="48"/>
      <w:szCs w:val="48"/>
    </w:rPr>
  </w:style>
  <w:style w:type="character" w:styleId="1048">
    <w:name w:val="Subtitle Char"/>
    <w:basedOn w:val="1060"/>
    <w:uiPriority w:val="11"/>
    <w:qFormat/>
    <w:rPr>
      <w:sz w:val="24"/>
      <w:szCs w:val="24"/>
    </w:rPr>
  </w:style>
  <w:style w:type="character" w:styleId="1049">
    <w:name w:val="Quote Char"/>
    <w:uiPriority w:val="29"/>
    <w:qFormat/>
    <w:rPr>
      <w:i/>
    </w:rPr>
  </w:style>
  <w:style w:type="character" w:styleId="1050">
    <w:name w:val="Intense Quote Char"/>
    <w:uiPriority w:val="30"/>
    <w:qFormat/>
    <w:rPr>
      <w:i/>
    </w:rPr>
  </w:style>
  <w:style w:type="character" w:styleId="1051">
    <w:name w:val="Header Char"/>
    <w:basedOn w:val="1060"/>
    <w:uiPriority w:val="99"/>
    <w:qFormat/>
  </w:style>
  <w:style w:type="character" w:styleId="1052">
    <w:name w:val="Footer Char"/>
    <w:basedOn w:val="1060"/>
    <w:uiPriority w:val="99"/>
    <w:qFormat/>
  </w:style>
  <w:style w:type="character" w:styleId="1053">
    <w:name w:val="Caption Char"/>
    <w:uiPriority w:val="99"/>
    <w:qFormat/>
  </w:style>
  <w:style w:type="character" w:styleId="1054">
    <w:name w:val="Footnote Text Char"/>
    <w:uiPriority w:val="99"/>
    <w:qFormat/>
    <w:rPr>
      <w:sz w:val="18"/>
    </w:rPr>
  </w:style>
  <w:style w:type="character" w:styleId="1055">
    <w:name w:val="Символ сноски"/>
    <w:uiPriority w:val="99"/>
    <w:unhideWhenUsed/>
    <w:qFormat/>
    <w:rPr>
      <w:vertAlign w:val="superscript"/>
    </w:rPr>
  </w:style>
  <w:style w:type="character" w:styleId="1056">
    <w:name w:val="footnote reference"/>
    <w:rPr>
      <w:vertAlign w:val="superscript"/>
    </w:rPr>
  </w:style>
  <w:style w:type="character" w:styleId="1057">
    <w:name w:val="Endnote Text Char"/>
    <w:uiPriority w:val="99"/>
    <w:qFormat/>
    <w:rPr>
      <w:sz w:val="20"/>
    </w:rPr>
  </w:style>
  <w:style w:type="character" w:styleId="105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1059">
    <w:name w:val="endnote reference"/>
    <w:rPr>
      <w:vertAlign w:val="superscript"/>
    </w:rPr>
  </w:style>
  <w:style w:type="character" w:styleId="1060" w:default="1">
    <w:name w:val="Default Paragraph Font"/>
    <w:semiHidden/>
    <w:qFormat/>
  </w:style>
  <w:style w:type="character" w:styleId="1061">
    <w:name w:val="Hyperlink"/>
    <w:rPr>
      <w:color w:val="0000ff"/>
      <w:u w:val="single"/>
    </w:rPr>
  </w:style>
  <w:style w:type="character" w:styleId="1062">
    <w:name w:val="page number"/>
    <w:basedOn w:val="1060"/>
    <w:qFormat/>
  </w:style>
  <w:style w:type="character" w:styleId="1063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1064">
    <w:name w:val="Символ нумерации"/>
    <w:qFormat/>
  </w:style>
  <w:style w:type="paragraph" w:styleId="1065">
    <w:name w:val="Заголовок"/>
    <w:basedOn w:val="1028"/>
    <w:next w:val="1066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1066">
    <w:name w:val="Body Text"/>
    <w:basedOn w:val="1028"/>
    <w:rPr>
      <w:sz w:val="28"/>
    </w:rPr>
  </w:style>
  <w:style w:type="paragraph" w:styleId="1067">
    <w:name w:val="List"/>
    <w:basedOn w:val="1066"/>
    <w:rPr>
      <w:rFonts w:cs="Lohit Devanagari"/>
    </w:rPr>
  </w:style>
  <w:style w:type="paragraph" w:styleId="1068">
    <w:name w:val="Caption"/>
    <w:basedOn w:val="1028"/>
    <w:link w:val="10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069">
    <w:name w:val="Указатель"/>
    <w:basedOn w:val="1028"/>
    <w:qFormat/>
    <w:pPr>
      <w:suppressLineNumbers/>
    </w:pPr>
    <w:rPr>
      <w:rFonts w:cs="Lohit Devanagari"/>
    </w:rPr>
  </w:style>
  <w:style w:type="paragraph" w:styleId="1070">
    <w:name w:val="List Paragraph"/>
    <w:basedOn w:val="1028"/>
    <w:uiPriority w:val="34"/>
    <w:qFormat/>
    <w:pPr>
      <w:contextualSpacing/>
      <w:ind w:left="720"/>
      <w:spacing w:before="0" w:after="0"/>
    </w:pPr>
  </w:style>
  <w:style w:type="paragraph" w:styleId="1071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1072">
    <w:name w:val="Title"/>
    <w:basedOn w:val="102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1073">
    <w:name w:val="Subtitle"/>
    <w:basedOn w:val="1028"/>
    <w:uiPriority w:val="11"/>
    <w:qFormat/>
    <w:pPr>
      <w:spacing w:before="200" w:after="200"/>
    </w:pPr>
    <w:rPr>
      <w:sz w:val="24"/>
      <w:szCs w:val="24"/>
    </w:rPr>
  </w:style>
  <w:style w:type="paragraph" w:styleId="1074">
    <w:name w:val="Quote"/>
    <w:basedOn w:val="1028"/>
    <w:uiPriority w:val="29"/>
    <w:qFormat/>
    <w:pPr>
      <w:ind w:left="720" w:right="720"/>
    </w:pPr>
    <w:rPr>
      <w:i/>
    </w:rPr>
  </w:style>
  <w:style w:type="paragraph" w:styleId="1075">
    <w:name w:val="Intense Quote"/>
    <w:basedOn w:val="1028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1076">
    <w:name w:val="footnote text"/>
    <w:basedOn w:val="102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1077">
    <w:name w:val="endnote text"/>
    <w:basedOn w:val="102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1078">
    <w:name w:val="toc 1"/>
    <w:basedOn w:val="1028"/>
    <w:uiPriority w:val="39"/>
    <w:unhideWhenUsed/>
    <w:pPr>
      <w:ind w:left="0" w:right="0" w:firstLine="0"/>
      <w:spacing w:before="0" w:after="57"/>
    </w:pPr>
  </w:style>
  <w:style w:type="paragraph" w:styleId="1079">
    <w:name w:val="toc 2"/>
    <w:basedOn w:val="1028"/>
    <w:uiPriority w:val="39"/>
    <w:unhideWhenUsed/>
    <w:pPr>
      <w:ind w:left="283" w:right="0" w:firstLine="0"/>
      <w:spacing w:before="0" w:after="57"/>
    </w:pPr>
  </w:style>
  <w:style w:type="paragraph" w:styleId="1080">
    <w:name w:val="toc 3"/>
    <w:basedOn w:val="1028"/>
    <w:uiPriority w:val="39"/>
    <w:unhideWhenUsed/>
    <w:pPr>
      <w:ind w:left="567" w:right="0" w:firstLine="0"/>
      <w:spacing w:before="0" w:after="57"/>
    </w:pPr>
  </w:style>
  <w:style w:type="paragraph" w:styleId="1081">
    <w:name w:val="toc 4"/>
    <w:basedOn w:val="1028"/>
    <w:uiPriority w:val="39"/>
    <w:unhideWhenUsed/>
    <w:pPr>
      <w:ind w:left="850" w:right="0" w:firstLine="0"/>
      <w:spacing w:before="0" w:after="57"/>
    </w:pPr>
  </w:style>
  <w:style w:type="paragraph" w:styleId="1082">
    <w:name w:val="toc 5"/>
    <w:basedOn w:val="1028"/>
    <w:uiPriority w:val="39"/>
    <w:unhideWhenUsed/>
    <w:pPr>
      <w:ind w:left="1134" w:right="0" w:firstLine="0"/>
      <w:spacing w:before="0" w:after="57"/>
    </w:pPr>
  </w:style>
  <w:style w:type="paragraph" w:styleId="1083">
    <w:name w:val="toc 6"/>
    <w:basedOn w:val="1028"/>
    <w:uiPriority w:val="39"/>
    <w:unhideWhenUsed/>
    <w:pPr>
      <w:ind w:left="1417" w:right="0" w:firstLine="0"/>
      <w:spacing w:before="0" w:after="57"/>
    </w:pPr>
  </w:style>
  <w:style w:type="paragraph" w:styleId="1084">
    <w:name w:val="toc 7"/>
    <w:basedOn w:val="1028"/>
    <w:uiPriority w:val="39"/>
    <w:unhideWhenUsed/>
    <w:pPr>
      <w:ind w:left="1701" w:right="0" w:firstLine="0"/>
      <w:spacing w:before="0" w:after="57"/>
    </w:pPr>
  </w:style>
  <w:style w:type="paragraph" w:styleId="1085">
    <w:name w:val="toc 8"/>
    <w:basedOn w:val="1028"/>
    <w:uiPriority w:val="39"/>
    <w:unhideWhenUsed/>
    <w:pPr>
      <w:ind w:left="1984" w:right="0" w:firstLine="0"/>
      <w:spacing w:before="0" w:after="57"/>
    </w:pPr>
  </w:style>
  <w:style w:type="paragraph" w:styleId="1086">
    <w:name w:val="toc 9"/>
    <w:basedOn w:val="1028"/>
    <w:uiPriority w:val="39"/>
    <w:unhideWhenUsed/>
    <w:pPr>
      <w:ind w:left="2268" w:right="0" w:firstLine="0"/>
      <w:spacing w:before="0" w:after="57"/>
    </w:pPr>
  </w:style>
  <w:style w:type="paragraph" w:styleId="1087">
    <w:name w:val="Index Heading"/>
    <w:basedOn w:val="1065"/>
  </w:style>
  <w:style w:type="paragraph" w:styleId="108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1089">
    <w:name w:val="table of figures"/>
    <w:basedOn w:val="1028"/>
    <w:uiPriority w:val="99"/>
    <w:unhideWhenUsed/>
    <w:pPr>
      <w:spacing w:before="0" w:after="0" w:afterAutospacing="0"/>
    </w:pPr>
  </w:style>
  <w:style w:type="paragraph" w:styleId="1090">
    <w:name w:val="Колонтитул"/>
    <w:basedOn w:val="1028"/>
    <w:qFormat/>
  </w:style>
  <w:style w:type="paragraph" w:styleId="1091">
    <w:name w:val="Header"/>
    <w:basedOn w:val="1028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1092">
    <w:name w:val="Footer"/>
    <w:basedOn w:val="1028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1093">
    <w:name w:val="Balloon Text"/>
    <w:basedOn w:val="1028"/>
    <w:qFormat/>
    <w:rPr>
      <w:rFonts w:ascii="Tahoma" w:hAnsi="Tahoma" w:cs="Tahoma"/>
      <w:sz w:val="16"/>
      <w:szCs w:val="16"/>
    </w:rPr>
  </w:style>
  <w:style w:type="paragraph" w:styleId="1094">
    <w:name w:val="Содержимое врезки"/>
    <w:basedOn w:val="1028"/>
    <w:qFormat/>
  </w:style>
  <w:style w:type="numbering" w:styleId="1095" w:default="1">
    <w:name w:val="No List"/>
    <w:semiHidden/>
    <w:qFormat/>
  </w:style>
  <w:style w:type="table" w:styleId="109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города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dc:description/>
  <dc:language>ru-RU</dc:language>
  <cp:lastModifiedBy>kutasheva-av</cp:lastModifiedBy>
  <cp:revision>54</cp:revision>
  <dcterms:created xsi:type="dcterms:W3CDTF">2024-07-26T05:32:00Z</dcterms:created>
  <dcterms:modified xsi:type="dcterms:W3CDTF">2026-09-28T10:58:52Z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