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EB" w:rsidRDefault="00EA40EB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A40EB" w:rsidRDefault="00EA40EB">
      <w:pPr>
        <w:pStyle w:val="ConsPlusNormal"/>
        <w:jc w:val="both"/>
        <w:outlineLvl w:val="0"/>
      </w:pPr>
    </w:p>
    <w:p w:rsidR="00EA40EB" w:rsidRDefault="00EA40EB">
      <w:pPr>
        <w:pStyle w:val="ConsPlusTitle"/>
        <w:jc w:val="center"/>
        <w:outlineLvl w:val="0"/>
      </w:pPr>
      <w:r>
        <w:t>АДМИНИСТРАЦИЯ ГОРОДА ПЕРМИ</w:t>
      </w:r>
    </w:p>
    <w:p w:rsidR="00EA40EB" w:rsidRDefault="00EA40EB">
      <w:pPr>
        <w:pStyle w:val="ConsPlusTitle"/>
        <w:jc w:val="center"/>
      </w:pPr>
    </w:p>
    <w:p w:rsidR="00EA40EB" w:rsidRDefault="00EA40EB">
      <w:pPr>
        <w:pStyle w:val="ConsPlusTitle"/>
        <w:jc w:val="center"/>
      </w:pPr>
      <w:r>
        <w:t>ПОСТАНОВЛЕНИЕ</w:t>
      </w:r>
    </w:p>
    <w:p w:rsidR="00EA40EB" w:rsidRDefault="00EA40EB">
      <w:pPr>
        <w:pStyle w:val="ConsPlusTitle"/>
        <w:jc w:val="center"/>
      </w:pPr>
      <w:r>
        <w:t>от 31 мая 2021 г. N 387</w:t>
      </w:r>
    </w:p>
    <w:p w:rsidR="00EA40EB" w:rsidRDefault="00EA40EB">
      <w:pPr>
        <w:pStyle w:val="ConsPlusTitle"/>
        <w:jc w:val="center"/>
      </w:pPr>
    </w:p>
    <w:p w:rsidR="00EA40EB" w:rsidRDefault="00EA40EB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EA40EB" w:rsidRDefault="00EA40EB">
      <w:pPr>
        <w:pStyle w:val="ConsPlusTitle"/>
        <w:jc w:val="center"/>
      </w:pPr>
      <w:r>
        <w:t>ТЕРРИТОРИИ МЕСТНОГО ЗНАЧЕНИЯ - ОХРАНЯЕМОМ ЛАНДШАФТЕ</w:t>
      </w:r>
    </w:p>
    <w:p w:rsidR="00EA40EB" w:rsidRDefault="00EA40EB">
      <w:pPr>
        <w:pStyle w:val="ConsPlusTitle"/>
        <w:jc w:val="center"/>
      </w:pPr>
      <w:r>
        <w:t>"ЛАСЬВИНСКАЯ ДОЛИНА"</w:t>
      </w:r>
    </w:p>
    <w:p w:rsidR="00EA40EB" w:rsidRDefault="00EA40E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A40E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40EB" w:rsidRDefault="00EA40E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40EB" w:rsidRDefault="00EA40E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40EB" w:rsidRDefault="00EA40E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40EB" w:rsidRDefault="00EA40E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6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A40EB" w:rsidRDefault="00EA40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29.11.2023 </w:t>
            </w:r>
            <w:hyperlink r:id="rId7">
              <w:r>
                <w:rPr>
                  <w:color w:val="0000FF"/>
                </w:rPr>
                <w:t>N 1339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40EB" w:rsidRDefault="00EA40EB">
            <w:pPr>
              <w:pStyle w:val="ConsPlusNormal"/>
            </w:pPr>
          </w:p>
        </w:tc>
      </w:tr>
    </w:tbl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 xml:space="preserve">В соответствии </w:t>
      </w:r>
      <w:hyperlink r:id="rId8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267 "О создании особо охраняемой природной территории местного значения - охраняемого ландшафта "Ласьвинская Долина" администрация города Перми постановляет: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4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"Ласьвинская Долина" (далее - Положение).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2. Управлению по экологии и природопользованию администрации города Перми обеспечить </w:t>
      </w:r>
      <w:proofErr w:type="gramStart"/>
      <w:r>
        <w:t>контроль за</w:t>
      </w:r>
      <w:proofErr w:type="gramEnd"/>
      <w:r>
        <w:t xml:space="preserve"> содержанием особо охраняемой природной территории местного значения - охраняемого ландшафта "Ласьвинская Долина" и соблюдение особого режима охраны и использования в соответствии с Положением.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6.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right"/>
      </w:pPr>
      <w:r>
        <w:t>Глава города Перми</w:t>
      </w:r>
    </w:p>
    <w:p w:rsidR="00EA40EB" w:rsidRDefault="00EA40EB">
      <w:pPr>
        <w:pStyle w:val="ConsPlusNormal"/>
        <w:jc w:val="right"/>
      </w:pPr>
      <w:r>
        <w:t>А.Н.ДЕМКИН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right"/>
        <w:outlineLvl w:val="0"/>
      </w:pPr>
      <w:r>
        <w:t>УТВЕРЖДЕНО</w:t>
      </w:r>
    </w:p>
    <w:p w:rsidR="00EA40EB" w:rsidRDefault="00EA40EB">
      <w:pPr>
        <w:pStyle w:val="ConsPlusNormal"/>
        <w:jc w:val="right"/>
      </w:pPr>
      <w:r>
        <w:t>постановлением</w:t>
      </w:r>
    </w:p>
    <w:p w:rsidR="00EA40EB" w:rsidRDefault="00EA40EB">
      <w:pPr>
        <w:pStyle w:val="ConsPlusNormal"/>
        <w:jc w:val="right"/>
      </w:pPr>
      <w:r>
        <w:lastRenderedPageBreak/>
        <w:t>администрации города Перми</w:t>
      </w:r>
    </w:p>
    <w:p w:rsidR="00EA40EB" w:rsidRDefault="00EA40EB">
      <w:pPr>
        <w:pStyle w:val="ConsPlusNormal"/>
        <w:jc w:val="right"/>
      </w:pPr>
      <w:r>
        <w:t>от 31.05.2021 N 387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</w:pPr>
      <w:bookmarkStart w:id="1" w:name="P34"/>
      <w:bookmarkEnd w:id="1"/>
      <w:r>
        <w:t>ПОЛОЖЕНИЕ</w:t>
      </w:r>
    </w:p>
    <w:p w:rsidR="00EA40EB" w:rsidRDefault="00EA40EB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EA40EB" w:rsidRDefault="00EA40EB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"ЛАСЬВИНСКАЯ ДОЛИНА"</w:t>
      </w:r>
    </w:p>
    <w:p w:rsidR="00EA40EB" w:rsidRDefault="00EA40E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A40E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40EB" w:rsidRDefault="00EA40E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40EB" w:rsidRDefault="00EA40E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40EB" w:rsidRDefault="00EA40E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40EB" w:rsidRDefault="00EA40E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9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A40EB" w:rsidRDefault="00EA40E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29.11.2023 </w:t>
            </w:r>
            <w:hyperlink r:id="rId10">
              <w:r>
                <w:rPr>
                  <w:color w:val="0000FF"/>
                </w:rPr>
                <w:t>N 1339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40EB" w:rsidRDefault="00EA40EB">
            <w:pPr>
              <w:pStyle w:val="ConsPlusNormal"/>
            </w:pPr>
          </w:p>
        </w:tc>
      </w:tr>
    </w:tbl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  <w:outlineLvl w:val="1"/>
      </w:pPr>
      <w:r>
        <w:t>I. Общие положения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"Ласьвинская Долина"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11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267 "О создании особо охраняемой природной территории местного значения - охраняемого ландшафта "Ласьвинская Долина"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"Ласьвинская Долина" (далее - Положение) определяет режимы охраны, защиты, содержания и использования ООПТ.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1.4. Общая площадь ООПТ - 77,8912 га. ООПТ </w:t>
      </w:r>
      <w:proofErr w:type="gramStart"/>
      <w:r>
        <w:t>расположена</w:t>
      </w:r>
      <w:proofErr w:type="gramEnd"/>
      <w:r>
        <w:t xml:space="preserve"> в границах Пермского городского лесничества.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1.7. В границах ООПТ могут быть расположены лесные участки, находящиеся в пользовании юридических и физических лиц (далее - правообладатели лесных участков).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1.8. </w:t>
      </w:r>
      <w:proofErr w:type="gramStart"/>
      <w:r>
        <w:t xml:space="preserve">Основные и вспомогательные виды разрешенного использования лесных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12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EA40EB" w:rsidRDefault="00EA40EB">
      <w:pPr>
        <w:pStyle w:val="ConsPlusNormal"/>
        <w:spacing w:before="220"/>
        <w:ind w:firstLine="540"/>
        <w:jc w:val="both"/>
      </w:pPr>
      <w:r>
        <w:t>1.9. Лесные участки в пределах ООПТ могут быть предоставлены для целей, соответствующих режиму использования территории, в порядке, предусмотренном действующим законодательством.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  <w:outlineLvl w:val="1"/>
      </w:pPr>
      <w:r>
        <w:lastRenderedPageBreak/>
        <w:t>II. Цели создания ООПТ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>2.1. Целями создания ООПТ являются: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мероприятия по охране, защите, воспроизводству лесов;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  <w:outlineLvl w:val="1"/>
      </w:pPr>
      <w:r>
        <w:t>III. Управление ООПТ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3.2. ПермГорЛес на ООПТ: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lastRenderedPageBreak/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3.2.2. организует: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сенокошение;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EA40EB" w:rsidRDefault="00EA40EB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3.3. Управление: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осуществляет контроль при строительстве в границах ООПТ новых объектов, необходимых </w:t>
      </w:r>
      <w:r>
        <w:lastRenderedPageBreak/>
        <w:t>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согласовывает мероприятия по строительству, реконструкции, текущему и капитальному ремонту объектов капитального строительства на земельных участках, предоставленных до момента создания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согласовывает проведение экскурсий, культурно-массовых мероприятий, а также спортивно-оздоровительных мероприятий в границах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ПермГорЛес.</w:t>
      </w:r>
    </w:p>
    <w:p w:rsidR="00EA40EB" w:rsidRDefault="00EA40EB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4.2. Пользователи лесных участков обязаны соблюдать требования режима охраны ООПТ и лесного законодательства. При смене пользователей лесных участков все ограничения, наложенные настоящим Положением, сохраняют силу.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любые виды рубок лесных насаждений, за исключением рубок, предусмотренных при </w:t>
      </w:r>
      <w:r>
        <w:lastRenderedPageBreak/>
        <w:t>проведении санитарно-оздоровительных мероприятий и мероприятий по уходу за лесом;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все виды пользования природными ресурсами, </w:t>
      </w:r>
      <w:proofErr w:type="gramStart"/>
      <w:r>
        <w:t>связанных</w:t>
      </w:r>
      <w:proofErr w:type="gramEnd"/>
      <w:r>
        <w:t xml:space="preserve"> с их изъятием;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сенокошение, проводимое вне территории рекреационных объектов;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преобразование лесных насаждений в парковые и введение (интродукция) любых видов растений или животных, ранее не обитавших на ООПТ, для озеленения территории;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реконструкции, капитальном и текущем ремонте объектов;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использование для отопления угля и другого топлива, отличающегося повышенным </w:t>
      </w:r>
      <w:r>
        <w:lastRenderedPageBreak/>
        <w:t>содержанием выделяющихся при горении вредных веществ;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режимом охраны и использования ООПТ.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4.6.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EA40EB" w:rsidRDefault="00EA40EB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4.7. Информация о границах ООПТ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4.8. Лесные участки могут быть предоставлены в аренду в соответствии с Лесохозяйственным </w:t>
      </w:r>
      <w:hyperlink r:id="rId14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Лесохозяйственный регламент).</w:t>
      </w:r>
    </w:p>
    <w:p w:rsidR="00EA40EB" w:rsidRDefault="00EA40EB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29.11.2023 N 1339)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4.9. На ООПТ разрешаются: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EA40EB" w:rsidRDefault="00EA40EB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16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EA40EB" w:rsidRDefault="00EA40EB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создание и оборудование тропиночной сети, ремонт и замена покрытия пешеходных </w:t>
      </w:r>
      <w:r>
        <w:lastRenderedPageBreak/>
        <w:t>дорожек;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ООПТ, размещение ограничивающих проезд и проход сооружений;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восстановление лесных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EA40EB" w:rsidRDefault="00EA40EB">
      <w:pPr>
        <w:pStyle w:val="ConsPlusNormal"/>
        <w:spacing w:before="220"/>
        <w:ind w:firstLine="540"/>
        <w:jc w:val="both"/>
      </w:pPr>
      <w:proofErr w:type="gramStart"/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EA40EB" w:rsidRDefault="00EA40EB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EA40EB" w:rsidRDefault="00EA40EB">
      <w:pPr>
        <w:pStyle w:val="ConsPlusTitle"/>
        <w:jc w:val="center"/>
      </w:pPr>
      <w:r>
        <w:t>на ООПТ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 xml:space="preserve">5.2. Планы санитарно-оздоровительных мероприятий лесных насаждений определяются на основании материалов лесоустройства, Лесохозяйственного регламента, натурного, лесопатологического обследования и подлежат обязательному согласованию ежегодно в срок до </w:t>
      </w:r>
      <w:r>
        <w:lastRenderedPageBreak/>
        <w:t>15 февраля года, в котором планируется проведение санитарно-оздоровительных мероприятий с Управлением.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EA40EB" w:rsidRDefault="00EA40EB">
      <w:pPr>
        <w:pStyle w:val="ConsPlusTitle"/>
        <w:jc w:val="center"/>
      </w:pPr>
      <w:r>
        <w:t>использования ООПТ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ind w:firstLine="540"/>
        <w:jc w:val="both"/>
      </w:pPr>
      <w:r>
        <w:t>6.1.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EA40EB" w:rsidRDefault="00EA40EB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jc w:val="both"/>
      </w:pPr>
    </w:p>
    <w:p w:rsidR="00EA40EB" w:rsidRDefault="00EA40E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8F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EB"/>
    <w:rsid w:val="003D4924"/>
    <w:rsid w:val="00EA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0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40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40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0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40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40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47587" TargetMode="External"/><Relationship Id="rId13" Type="http://schemas.openxmlformats.org/officeDocument/2006/relationships/hyperlink" Target="https://login.consultant.ru/link/?req=doc&amp;base=RLAW368&amp;n=167218&amp;dst=10003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68&amp;n=188366&amp;dst=100005" TargetMode="External"/><Relationship Id="rId12" Type="http://schemas.openxmlformats.org/officeDocument/2006/relationships/hyperlink" Target="https://login.consultant.ru/link/?req=doc&amp;base=RLAW368&amp;n=189897&amp;dst=10002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89897&amp;dst=1000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67218&amp;dst=100030" TargetMode="External"/><Relationship Id="rId11" Type="http://schemas.openxmlformats.org/officeDocument/2006/relationships/hyperlink" Target="https://login.consultant.ru/link/?req=doc&amp;base=RLAW368&amp;n=147587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88366&amp;dst=100005" TargetMode="External"/><Relationship Id="rId10" Type="http://schemas.openxmlformats.org/officeDocument/2006/relationships/hyperlink" Target="https://login.consultant.ru/link/?req=doc&amp;base=RLAW368&amp;n=188366&amp;dst=100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67218&amp;dst=100030" TargetMode="External"/><Relationship Id="rId14" Type="http://schemas.openxmlformats.org/officeDocument/2006/relationships/hyperlink" Target="https://login.consultant.ru/link/?req=doc&amp;base=RLAW368&amp;n=186916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2024-02-05T12:48:00Z</dcterms:created>
  <dcterms:modified xsi:type="dcterms:W3CDTF">2024-02-05T12:48:00Z</dcterms:modified>
</cp:coreProperties>
</file>