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946" w:rsidRDefault="008B7946" w:rsidP="008B7946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US" w:bidi="en-US"/>
        </w:rPr>
      </w:pPr>
      <w:bookmarkStart w:id="0" w:name="_GoBack"/>
      <w:bookmarkEnd w:id="0"/>
    </w:p>
    <w:p w:rsidR="00E66723" w:rsidRDefault="00E66723" w:rsidP="008B7946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US" w:bidi="en-US"/>
        </w:rPr>
      </w:pPr>
    </w:p>
    <w:p w:rsidR="00E66723" w:rsidRDefault="00E66723" w:rsidP="008B7946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US" w:bidi="en-US"/>
        </w:rPr>
      </w:pPr>
    </w:p>
    <w:p w:rsidR="00E66723" w:rsidRDefault="00E66723" w:rsidP="008B7946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US" w:bidi="en-US"/>
        </w:rPr>
      </w:pPr>
    </w:p>
    <w:p w:rsidR="00E66723" w:rsidRDefault="00E66723" w:rsidP="008B7946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US" w:bidi="en-US"/>
        </w:rPr>
      </w:pPr>
    </w:p>
    <w:p w:rsidR="00E66723" w:rsidRDefault="00E66723" w:rsidP="008B7946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US" w:bidi="en-US"/>
        </w:rPr>
      </w:pPr>
    </w:p>
    <w:p w:rsidR="00E66723" w:rsidRPr="008B7946" w:rsidRDefault="00E66723" w:rsidP="008B7946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US" w:bidi="en-US"/>
        </w:rPr>
      </w:pPr>
    </w:p>
    <w:p w:rsidR="008B7946" w:rsidRPr="008B7946" w:rsidRDefault="008B7946" w:rsidP="008B794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lang w:val="en-US" w:bidi="en-US"/>
        </w:rPr>
      </w:pPr>
      <w:r w:rsidRPr="008B7946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6C410A9F" wp14:editId="16415E4A">
            <wp:extent cx="1423321" cy="1757803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ерб г.Пермь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321" cy="175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946" w:rsidRPr="008B7946" w:rsidRDefault="008B7946" w:rsidP="008B7946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US" w:bidi="en-US"/>
        </w:rPr>
      </w:pPr>
    </w:p>
    <w:p w:rsidR="00E66723" w:rsidRPr="00E66723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  <w:r w:rsidRPr="00E66723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 xml:space="preserve">СХЕМА ТЕПЛОСНАБЖЕНИЯ </w:t>
      </w:r>
    </w:p>
    <w:p w:rsidR="00E66723" w:rsidRPr="00E66723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  <w:r w:rsidRPr="00E66723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 xml:space="preserve">В АДМИНИСТРАТИВНЫХ ГРАНИЦАХ ГОРОДА ПЕРМИ НА ПЕРИОД </w:t>
      </w:r>
    </w:p>
    <w:p w:rsidR="00E66723" w:rsidRPr="00E66723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  <w:r w:rsidRPr="00E66723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>ДО 2043 ГОДА</w:t>
      </w:r>
    </w:p>
    <w:p w:rsidR="00E66723" w:rsidRPr="00E66723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:rsidR="00E66723" w:rsidRPr="00E66723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  <w:r w:rsidRPr="00E66723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>ОБОСНОВЫВАЮЩИЕ МАТЕРИАЛЫ</w:t>
      </w:r>
    </w:p>
    <w:p w:rsidR="00E66723" w:rsidRPr="00E66723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:rsidR="00E66723" w:rsidRPr="00E66723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  <w:r w:rsidRPr="00E66723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>ГЛАВА 9. ПРИЛОЖЕНИЕ 1</w:t>
      </w:r>
    </w:p>
    <w:p w:rsidR="00E66723" w:rsidRPr="00E66723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:rsidR="008B7946" w:rsidRPr="00E66723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highlight w:val="yellow"/>
          <w:lang w:bidi="en-US"/>
        </w:rPr>
      </w:pPr>
      <w:r w:rsidRPr="00E66723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>ПРОТОКОЛ ЗАКРЫТИЯ ГВС</w:t>
      </w:r>
    </w:p>
    <w:p w:rsidR="008B7946" w:rsidRPr="008B7946" w:rsidRDefault="008B7946" w:rsidP="008B794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highlight w:val="yellow"/>
          <w:lang w:bidi="en-US"/>
        </w:rPr>
      </w:pPr>
    </w:p>
    <w:p w:rsidR="008B7946" w:rsidRPr="008B7946" w:rsidRDefault="008B7946" w:rsidP="008B794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bidi="en-US"/>
        </w:rPr>
      </w:pPr>
    </w:p>
    <w:p w:rsidR="008B7946" w:rsidRPr="008B7946" w:rsidRDefault="008B7946" w:rsidP="008B7946">
      <w:pPr>
        <w:spacing w:after="0" w:line="360" w:lineRule="auto"/>
        <w:ind w:hanging="30"/>
        <w:jc w:val="center"/>
        <w:rPr>
          <w:rFonts w:ascii="Times New Roman" w:eastAsia="Times New Roman" w:hAnsi="Times New Roman" w:cs="Times New Roman"/>
          <w:sz w:val="24"/>
          <w:lang w:bidi="en-US"/>
        </w:rPr>
        <w:sectPr w:rsidR="008B7946" w:rsidRPr="008B7946" w:rsidSect="00A9035C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283" w:footer="283" w:gutter="0"/>
          <w:cols w:space="708"/>
          <w:titlePg/>
          <w:docGrid w:linePitch="360"/>
        </w:sectPr>
      </w:pPr>
    </w:p>
    <w:p w:rsidR="008B7946" w:rsidRDefault="008B7946" w:rsidP="008B794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Состав работы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CA6504" w:rsidRPr="00CA6504" w:rsidTr="00AB371D">
        <w:trPr>
          <w:tblHeader/>
        </w:trPr>
        <w:tc>
          <w:tcPr>
            <w:tcW w:w="5000" w:type="pct"/>
            <w:shd w:val="clear" w:color="auto" w:fill="auto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b/>
                <w:bCs/>
                <w:color w:val="000000"/>
                <w:spacing w:val="-4"/>
                <w:sz w:val="20"/>
                <w:szCs w:val="20"/>
                <w:lang w:eastAsia="ru-RU"/>
              </w:rPr>
              <w:t>Наименование документа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Схема теплоснабжения в административных границах г. Перми на период до 2043 года. Утверждаемая часть Том 1 (Разделы 1-5)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Схема теплоснабжения в административных границах г. Перми на период до 2043 года. Утверждаемая часть Том 2 (Разделы 6-16)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Обосновывающие материалы к схеме теплоснабжения г. Перми на период до 2043 года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1. Существующее положение в сфере производства, передачи и потребления тепловой энергии для целей теплоснабжения Том 1 (Части 1-5)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1. Существующее положение в сфере производства, передачи и потребления тепловой энергии для целей теплоснабжения Том 2 (Части 6-13)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2. Существующее и перспективное потребление тепловой энергии на цели теплоснабжения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2. Приложение 1. Перечень потребителей тепловой энергии, планируемых к подключению в следующую пятилетку, а также известные (точечные) объекты теплопотребления, ввод которых запланирован на 2-3 этапах расчётного периода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2. Приложение 2. Перечень объектов теплопотребления, подлежащих расселению и сносу в течение расчетного срока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2. Приложение 3. Перечень потребителей тепловой энергии, подключенных к существующим тепловым сетям за 2022 год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2. Приложение 4. Прогноз прироста площади строительных фондов в соответствии с Приложением 27 Методических указаний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2. Приложение 5. Прогноз прироста расчетной тепловой нагрузки в соответствии с Приложением 30 Методических указаний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2. Приложение 6. Прогноз прироста потребления тепловой энергии в соответствии с Приложением 32 Методических указаний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2. Приложение 7. Существующие и перспективные величины средневзвешенной плотности тепловой нагрузки в каждом расчетном элементе территориального деления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3. Электронная модель системы теплоснабжения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3. Приложение 1. Альбом характеристик ЦТП и насосных станций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 xml:space="preserve">Глава 4. Существующие и перспективные балансы тепловой мощности источников тепловой энергии и тепловой нагрузки 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5. Мастер-план развития систем теплоснабжения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6. Существующие и перспективные балансы производительности водоподготовительных установок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7. 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7. Приложение 1. Результаты расчета радиусов эффективного теплоснабжения по точкам сброса тепловой нагрузки, в зоне действия ТЭЦ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8. Предложения по строительству и реконструкции тепловых сетей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8. Приложение 1. Утвержденные параметры регулирования отпуска тепловой энергии с коллекторов источников тепловой энергии и в точке измерения тепловой энергии, отпущенной потребителю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9. Предложения по переводу открытых систем теплоснабжения (горячего водоснабжения) в закрытые системы горячего водоснабжения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9. Приложение 1. Протокол закрытия ГВС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10. Перспективные топливные балансы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11. Оценка надежности теплоснабжения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12. Обоснование инвестиций в строительство, реконструкцию и техническое перевооружение</w:t>
            </w:r>
            <w:r w:rsidRPr="00CA650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и (или) модернизацию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13. Индикаторы развития систем теплоснабжения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13. Приложение 1. Нарушение антимонопольного законодательства со стороны ФГУП «Машзавод им. Ф. Э. Дзержинского» при навязывании невыгодных условий по договорам теплоснабжения в части установления цены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13. Приложение 2. Нарушение антимонопольного законодательства в отношении ООО «</w:t>
            </w:r>
            <w:proofErr w:type="spellStart"/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Новогор-Прикамье</w:t>
            </w:r>
            <w:proofErr w:type="spellEnd"/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» по вопросу применяемых цен (тарифов) на тепловую энергию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14. Ценовые (тарифные) последствия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15. Реестр единых теплоснабжающих организаций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15. Приложение 1. Зарегистрированные в установленном порядке заявки на присвоение статуса ЕТО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b/>
                <w:color w:val="000000"/>
                <w:spacing w:val="-4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15. Приложение 2. Уведомления единых теплоснабжающих организаций об утрате права собственности, в соответствии с п. 14 Правил организации теплоснабжения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lastRenderedPageBreak/>
              <w:t>Глава 15. Приложение 3. Зоны деятельности единых теплоснабжающих организаций с адресной привязкой на карте муниципального образования и зоны действия источников тепловой энергии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16. Реестр мероприятий схемы теплоснабжения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  <w:t>Глава 17. Замечания и предложения к проекту схемы теплоснабжения</w:t>
            </w:r>
          </w:p>
        </w:tc>
      </w:tr>
      <w:tr w:rsidR="00CA6504" w:rsidRPr="00CA6504" w:rsidTr="00AB371D">
        <w:tc>
          <w:tcPr>
            <w:tcW w:w="5000" w:type="pct"/>
            <w:shd w:val="clear" w:color="000000" w:fill="FFFFFF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504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  <w:t xml:space="preserve">Глава 18. Сводный том изменений, выполненных в </w:t>
            </w:r>
            <w:r w:rsidR="00383E9D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  <w:t xml:space="preserve">доработанной и (или) </w:t>
            </w:r>
            <w:r w:rsidRPr="00CA6504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  <w:t>актуализированной схеме теплоснабжения</w:t>
            </w:r>
          </w:p>
        </w:tc>
      </w:tr>
      <w:tr w:rsidR="00CA6504" w:rsidRPr="00CA6504" w:rsidTr="00AB371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</w:pPr>
            <w:r w:rsidRPr="00CA6504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  <w:t>Глава 19. Оценка экологической безопасности теплоснабжения</w:t>
            </w:r>
          </w:p>
        </w:tc>
      </w:tr>
      <w:tr w:rsidR="00CA6504" w:rsidRPr="00CA6504" w:rsidTr="00AB371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</w:pPr>
            <w:r w:rsidRPr="00CA6504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  <w:t>Глава 19. Приложение 1. Расчет рассеивания выбросов загрязняющих веществ в атмосферном воздухе для существующего положения</w:t>
            </w:r>
          </w:p>
        </w:tc>
      </w:tr>
      <w:tr w:rsidR="00CA6504" w:rsidRPr="00CA6504" w:rsidTr="00AB371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6504" w:rsidRPr="00CA6504" w:rsidRDefault="00CA6504" w:rsidP="00CA650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</w:pPr>
            <w:r w:rsidRPr="00CA6504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  <w:t>Глава 19. Приложение 2. Расчет рассеивания выбросов загрязняющих веществ в атмосферном воздухе на перспективу</w:t>
            </w:r>
          </w:p>
        </w:tc>
      </w:tr>
    </w:tbl>
    <w:p w:rsidR="00CA6504" w:rsidRDefault="00CA6504" w:rsidP="008B794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sectPr w:rsidR="00CA6504" w:rsidSect="008B7946">
          <w:pgSz w:w="11906" w:h="16838"/>
          <w:pgMar w:top="1134" w:right="850" w:bottom="1134" w:left="1701" w:header="283" w:footer="283" w:gutter="0"/>
          <w:cols w:space="708"/>
          <w:docGrid w:linePitch="360"/>
        </w:sectPr>
      </w:pPr>
    </w:p>
    <w:p w:rsidR="003412A2" w:rsidRDefault="008B7946" w:rsidP="008B794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8B794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Содержа</w:t>
      </w:r>
      <w:r w:rsidR="00E71492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ние</w:t>
      </w:r>
    </w:p>
    <w:p w:rsidR="00CA6504" w:rsidRDefault="00E71492">
      <w:pPr>
        <w:pStyle w:val="11"/>
        <w:tabs>
          <w:tab w:val="left" w:pos="440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rFonts w:eastAsia="Times New Roman" w:cs="Times New Roman"/>
          <w:b/>
          <w:caps/>
          <w:szCs w:val="24"/>
          <w:lang w:eastAsia="ru-RU"/>
        </w:rPr>
        <w:fldChar w:fldCharType="begin"/>
      </w:r>
      <w:r>
        <w:rPr>
          <w:rFonts w:eastAsia="Times New Roman" w:cs="Times New Roman"/>
          <w:b/>
          <w:caps/>
          <w:szCs w:val="24"/>
          <w:lang w:eastAsia="ru-RU"/>
        </w:rPr>
        <w:instrText xml:space="preserve"> TOC \o "1-3" \h \z \u </w:instrText>
      </w:r>
      <w:r>
        <w:rPr>
          <w:rFonts w:eastAsia="Times New Roman" w:cs="Times New Roman"/>
          <w:b/>
          <w:caps/>
          <w:szCs w:val="24"/>
          <w:lang w:eastAsia="ru-RU"/>
        </w:rPr>
        <w:fldChar w:fldCharType="separate"/>
      </w:r>
      <w:hyperlink w:anchor="_Toc148341041" w:history="1">
        <w:r w:rsidR="00CA6504" w:rsidRPr="00006DFB">
          <w:rPr>
            <w:rStyle w:val="a8"/>
            <w:noProof/>
          </w:rPr>
          <w:t>1.</w:t>
        </w:r>
        <w:r w:rsidR="00CA6504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CA6504" w:rsidRPr="00006DFB">
          <w:rPr>
            <w:rStyle w:val="a8"/>
            <w:noProof/>
          </w:rPr>
          <w:t>Протокол закрытия ГВС</w:t>
        </w:r>
        <w:r w:rsidR="00CA6504">
          <w:rPr>
            <w:noProof/>
            <w:webHidden/>
          </w:rPr>
          <w:tab/>
        </w:r>
        <w:r w:rsidR="00CA6504">
          <w:rPr>
            <w:noProof/>
            <w:webHidden/>
          </w:rPr>
          <w:fldChar w:fldCharType="begin"/>
        </w:r>
        <w:r w:rsidR="00CA6504">
          <w:rPr>
            <w:noProof/>
            <w:webHidden/>
          </w:rPr>
          <w:instrText xml:space="preserve"> PAGEREF _Toc148341041 \h </w:instrText>
        </w:r>
        <w:r w:rsidR="00CA6504">
          <w:rPr>
            <w:noProof/>
            <w:webHidden/>
          </w:rPr>
        </w:r>
        <w:r w:rsidR="00CA6504">
          <w:rPr>
            <w:noProof/>
            <w:webHidden/>
          </w:rPr>
          <w:fldChar w:fldCharType="separate"/>
        </w:r>
        <w:r w:rsidR="00B24D3D">
          <w:rPr>
            <w:noProof/>
            <w:webHidden/>
          </w:rPr>
          <w:t>5</w:t>
        </w:r>
        <w:r w:rsidR="00CA6504">
          <w:rPr>
            <w:noProof/>
            <w:webHidden/>
          </w:rPr>
          <w:fldChar w:fldCharType="end"/>
        </w:r>
      </w:hyperlink>
    </w:p>
    <w:p w:rsidR="00E71492" w:rsidRDefault="00E71492" w:rsidP="008B794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sectPr w:rsidR="00E71492" w:rsidSect="008B7946">
          <w:pgSz w:w="11906" w:h="16838"/>
          <w:pgMar w:top="1134" w:right="850" w:bottom="1134" w:left="1701" w:header="283" w:footer="283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fldChar w:fldCharType="end"/>
      </w:r>
    </w:p>
    <w:p w:rsidR="00CA6504" w:rsidRPr="00CA6504" w:rsidRDefault="00CA6504" w:rsidP="00CA6504">
      <w:pPr>
        <w:pStyle w:val="1"/>
      </w:pPr>
      <w:bookmarkStart w:id="1" w:name="_Toc148341041"/>
      <w:r>
        <w:lastRenderedPageBreak/>
        <w:t>П</w:t>
      </w:r>
      <w:r w:rsidRPr="00E71492">
        <w:t xml:space="preserve">ротокол закрытия </w:t>
      </w:r>
      <w:r>
        <w:t>ГВС</w:t>
      </w:r>
      <w:bookmarkEnd w:id="1"/>
    </w:p>
    <w:p w:rsidR="00E71492" w:rsidRPr="00E71492" w:rsidRDefault="00E71492" w:rsidP="00E71492"/>
    <w:p w:rsidR="00E645A3" w:rsidRDefault="003412A2" w:rsidP="003412A2">
      <w:pPr>
        <w:pStyle w:val="a7"/>
      </w:pPr>
      <w:r>
        <w:rPr>
          <w:noProof/>
          <w:lang w:eastAsia="ru-RU"/>
        </w:rPr>
        <w:drawing>
          <wp:inline distT="0" distB="0" distL="0" distR="0" wp14:anchorId="7B3BAF51">
            <wp:extent cx="5560726" cy="77724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26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2A2" w:rsidRDefault="003412A2" w:rsidP="003412A2">
      <w:pPr>
        <w:pStyle w:val="a7"/>
      </w:pPr>
    </w:p>
    <w:p w:rsidR="00E71492" w:rsidRDefault="00E71492" w:rsidP="003412A2">
      <w:pPr>
        <w:pStyle w:val="a7"/>
      </w:pPr>
    </w:p>
    <w:p w:rsidR="00E71492" w:rsidRDefault="00E71492" w:rsidP="003412A2">
      <w:pPr>
        <w:pStyle w:val="a7"/>
      </w:pPr>
    </w:p>
    <w:p w:rsidR="00E71492" w:rsidRDefault="00E71492" w:rsidP="003412A2">
      <w:pPr>
        <w:pStyle w:val="a7"/>
      </w:pPr>
      <w:r>
        <w:rPr>
          <w:noProof/>
          <w:lang w:eastAsia="ru-RU"/>
        </w:rPr>
        <w:drawing>
          <wp:inline distT="0" distB="0" distL="0" distR="0" wp14:anchorId="586DE002">
            <wp:extent cx="5776104" cy="8305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21" cy="8321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2A2" w:rsidRDefault="003412A2" w:rsidP="003412A2">
      <w:pPr>
        <w:pStyle w:val="a7"/>
      </w:pPr>
    </w:p>
    <w:p w:rsidR="00E71492" w:rsidRDefault="00E71492" w:rsidP="003412A2">
      <w:pPr>
        <w:pStyle w:val="a7"/>
      </w:pPr>
      <w:r>
        <w:rPr>
          <w:noProof/>
          <w:lang w:eastAsia="ru-RU"/>
        </w:rPr>
        <w:drawing>
          <wp:inline distT="0" distB="0" distL="0" distR="0" wp14:anchorId="4DCB1BCB">
            <wp:extent cx="5765389" cy="56388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63" cy="5655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71492" w:rsidSect="008B7946">
      <w:pgSz w:w="11906" w:h="16838"/>
      <w:pgMar w:top="1134" w:right="850" w:bottom="1134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946" w:rsidRDefault="008B7946" w:rsidP="008B7946">
      <w:pPr>
        <w:spacing w:after="0" w:line="240" w:lineRule="auto"/>
      </w:pPr>
      <w:r>
        <w:separator/>
      </w:r>
    </w:p>
  </w:endnote>
  <w:endnote w:type="continuationSeparator" w:id="0">
    <w:p w:rsidR="008B7946" w:rsidRDefault="008B7946" w:rsidP="008B7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503" w:rsidRDefault="00B24D3D" w:rsidP="002A7320">
    <w:pPr>
      <w:pStyle w:val="a5"/>
      <w:contextualSpacing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503" w:rsidRPr="0098049E" w:rsidRDefault="00B24D3D" w:rsidP="00093379">
    <w:pPr>
      <w:keepNext/>
      <w:suppressLineNumbers/>
      <w:pBdr>
        <w:bottom w:val="single" w:sz="12" w:space="1" w:color="auto"/>
      </w:pBdr>
      <w:tabs>
        <w:tab w:val="center" w:pos="4153"/>
        <w:tab w:val="right" w:pos="8306"/>
        <w:tab w:val="left" w:leader="dot" w:pos="9356"/>
      </w:tabs>
      <w:suppressAutoHyphens/>
      <w:spacing w:after="0" w:line="240" w:lineRule="auto"/>
      <w:contextualSpacing/>
      <w:jc w:val="both"/>
      <w:rPr>
        <w:rFonts w:ascii="Times New Roman" w:eastAsia="Times New Roman" w:hAnsi="Times New Roman" w:cs="Times New Roman"/>
        <w:sz w:val="24"/>
        <w:szCs w:val="24"/>
        <w:lang w:eastAsia="ru-RU"/>
      </w:rPr>
    </w:pPr>
  </w:p>
  <w:p w:rsidR="00255503" w:rsidRPr="0098049E" w:rsidRDefault="00E71492" w:rsidP="00093379">
    <w:pPr>
      <w:keepNext/>
      <w:suppressLineNumbers/>
      <w:tabs>
        <w:tab w:val="center" w:pos="4153"/>
        <w:tab w:val="right" w:pos="8306"/>
        <w:tab w:val="left" w:leader="dot" w:pos="9356"/>
      </w:tabs>
      <w:suppressAutoHyphens/>
      <w:spacing w:after="0" w:line="240" w:lineRule="auto"/>
      <w:contextualSpacing/>
      <w:jc w:val="right"/>
      <w:rPr>
        <w:rFonts w:ascii="Arial" w:eastAsia="Times New Roman" w:hAnsi="Arial" w:cs="Arial"/>
        <w:sz w:val="24"/>
        <w:szCs w:val="24"/>
        <w:lang w:eastAsia="ru-RU"/>
      </w:rPr>
    </w:pPr>
    <w:r w:rsidRPr="0098049E">
      <w:rPr>
        <w:rFonts w:ascii="Times New Roman" w:eastAsia="Times New Roman" w:hAnsi="Times New Roman" w:cs="Times New Roman"/>
        <w:sz w:val="24"/>
        <w:szCs w:val="24"/>
        <w:lang w:eastAsia="ru-RU"/>
      </w:rPr>
      <w:fldChar w:fldCharType="begin"/>
    </w:r>
    <w:r w:rsidRPr="0098049E">
      <w:rPr>
        <w:rFonts w:ascii="Times New Roman" w:eastAsia="Times New Roman" w:hAnsi="Times New Roman" w:cs="Times New Roman"/>
        <w:sz w:val="24"/>
        <w:szCs w:val="24"/>
        <w:lang w:eastAsia="ru-RU"/>
      </w:rPr>
      <w:instrText>PAGE   \* MERGEFORMAT</w:instrText>
    </w:r>
    <w:r w:rsidRPr="0098049E">
      <w:rPr>
        <w:rFonts w:ascii="Times New Roman" w:eastAsia="Times New Roman" w:hAnsi="Times New Roman" w:cs="Times New Roman"/>
        <w:sz w:val="24"/>
        <w:szCs w:val="24"/>
        <w:lang w:eastAsia="ru-RU"/>
      </w:rPr>
      <w:fldChar w:fldCharType="separate"/>
    </w:r>
    <w:r w:rsidR="00B24D3D">
      <w:rPr>
        <w:rFonts w:ascii="Times New Roman" w:eastAsia="Times New Roman" w:hAnsi="Times New Roman" w:cs="Times New Roman"/>
        <w:noProof/>
        <w:sz w:val="24"/>
        <w:szCs w:val="24"/>
        <w:lang w:eastAsia="ru-RU"/>
      </w:rPr>
      <w:t>2</w:t>
    </w:r>
    <w:r w:rsidRPr="0098049E">
      <w:rPr>
        <w:rFonts w:ascii="Times New Roman" w:eastAsia="Times New Roman" w:hAnsi="Times New Roman" w:cs="Times New Roman"/>
        <w:sz w:val="24"/>
        <w:szCs w:val="24"/>
        <w:lang w:eastAsia="ru-RU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503" w:rsidRPr="00E66723" w:rsidRDefault="00E71492" w:rsidP="002A7320">
    <w:pPr>
      <w:spacing w:after="0" w:line="240" w:lineRule="auto"/>
      <w:contextualSpacing/>
      <w:jc w:val="center"/>
      <w:rPr>
        <w:rFonts w:ascii="Times New Roman" w:eastAsia="Calibri" w:hAnsi="Times New Roman" w:cs="Times New Roman"/>
        <w:b/>
        <w:sz w:val="24"/>
        <w:szCs w:val="24"/>
        <w:lang w:eastAsia="ru-RU"/>
      </w:rPr>
    </w:pPr>
    <w:r w:rsidRPr="00E66723">
      <w:rPr>
        <w:rFonts w:ascii="Times New Roman" w:eastAsia="Calibri" w:hAnsi="Times New Roman" w:cs="Times New Roman"/>
        <w:b/>
        <w:sz w:val="24"/>
        <w:szCs w:val="24"/>
        <w:lang w:eastAsia="ru-RU"/>
      </w:rPr>
      <w:t>Пермь, 2023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946" w:rsidRDefault="008B7946" w:rsidP="008B7946">
      <w:pPr>
        <w:spacing w:after="0" w:line="240" w:lineRule="auto"/>
      </w:pPr>
      <w:r>
        <w:separator/>
      </w:r>
    </w:p>
  </w:footnote>
  <w:footnote w:type="continuationSeparator" w:id="0">
    <w:p w:rsidR="008B7946" w:rsidRDefault="008B7946" w:rsidP="008B7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503" w:rsidRPr="00D7422C" w:rsidRDefault="00E71492" w:rsidP="00D7422C">
    <w:pPr>
      <w:pBdr>
        <w:bottom w:val="single" w:sz="4" w:space="1" w:color="auto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Calibri" w:hAnsi="Times New Roman" w:cs="Times New Roman"/>
        <w:caps/>
        <w:sz w:val="16"/>
        <w:szCs w:val="16"/>
      </w:rPr>
    </w:pPr>
    <w:r w:rsidRPr="0010731A">
      <w:rPr>
        <w:rFonts w:ascii="Times New Roman" w:eastAsia="Calibri" w:hAnsi="Times New Roman" w:cs="Times New Roman"/>
        <w:caps/>
        <w:sz w:val="16"/>
        <w:szCs w:val="16"/>
      </w:rPr>
      <w:t>ОБОСНОВЫВАЮЩИЕ МАТЕРИАЛЫ К СХЕМЕ ТЕПЛОСНАБЖЕНИЯ МО ГО ГОРОД ПЕРМЬ НА ПЕРИОД ДО 2043 Г.</w:t>
    </w:r>
  </w:p>
  <w:p w:rsidR="00255503" w:rsidRDefault="00E71492" w:rsidP="00EB54AD">
    <w:pPr>
      <w:pBdr>
        <w:bottom w:val="single" w:sz="4" w:space="1" w:color="auto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Calibri" w:hAnsi="Times New Roman" w:cs="Times New Roman"/>
        <w:caps/>
        <w:sz w:val="16"/>
        <w:szCs w:val="16"/>
      </w:rPr>
    </w:pPr>
    <w:r w:rsidRPr="00EB54AD">
      <w:rPr>
        <w:rFonts w:ascii="Times New Roman" w:eastAsia="Calibri" w:hAnsi="Times New Roman" w:cs="Times New Roman"/>
        <w:caps/>
        <w:sz w:val="16"/>
        <w:szCs w:val="16"/>
      </w:rPr>
      <w:t xml:space="preserve">ГЛАВА </w:t>
    </w:r>
    <w:r>
      <w:rPr>
        <w:rFonts w:ascii="Times New Roman" w:eastAsia="Calibri" w:hAnsi="Times New Roman" w:cs="Times New Roman"/>
        <w:caps/>
        <w:sz w:val="16"/>
        <w:szCs w:val="16"/>
      </w:rPr>
      <w:t>9</w:t>
    </w:r>
    <w:r w:rsidRPr="00EB54AD">
      <w:rPr>
        <w:rFonts w:ascii="Times New Roman" w:eastAsia="Calibri" w:hAnsi="Times New Roman" w:cs="Times New Roman"/>
        <w:caps/>
        <w:sz w:val="16"/>
        <w:szCs w:val="16"/>
      </w:rPr>
      <w:t xml:space="preserve">. </w:t>
    </w:r>
    <w:r>
      <w:rPr>
        <w:rFonts w:ascii="Times New Roman" w:eastAsia="Calibri" w:hAnsi="Times New Roman" w:cs="Times New Roman"/>
        <w:caps/>
        <w:sz w:val="16"/>
        <w:szCs w:val="16"/>
      </w:rPr>
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</w:r>
  </w:p>
  <w:p w:rsidR="008B7946" w:rsidRPr="00EB54AD" w:rsidRDefault="008B7946" w:rsidP="00EB54AD">
    <w:pPr>
      <w:pBdr>
        <w:bottom w:val="single" w:sz="4" w:space="1" w:color="auto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Calibri" w:hAnsi="Times New Roman" w:cs="Times New Roman"/>
        <w:caps/>
        <w:sz w:val="16"/>
        <w:szCs w:val="16"/>
      </w:rPr>
    </w:pPr>
    <w:r>
      <w:rPr>
        <w:rFonts w:ascii="Times New Roman" w:eastAsia="Calibri" w:hAnsi="Times New Roman" w:cs="Times New Roman"/>
        <w:caps/>
        <w:sz w:val="16"/>
        <w:szCs w:val="16"/>
      </w:rPr>
      <w:t>Приложение 1.</w:t>
    </w:r>
    <w:r w:rsidRPr="008B7946">
      <w:t xml:space="preserve"> </w:t>
    </w:r>
    <w:r w:rsidRPr="008B7946">
      <w:rPr>
        <w:rFonts w:ascii="Times New Roman" w:eastAsia="Calibri" w:hAnsi="Times New Roman" w:cs="Times New Roman"/>
        <w:caps/>
        <w:sz w:val="16"/>
        <w:szCs w:val="16"/>
      </w:rPr>
      <w:t>ПРОТОКОЛ ЗАКРЫТИЯ ГВС</w:t>
    </w:r>
  </w:p>
  <w:p w:rsidR="00255503" w:rsidRPr="00EB54AD" w:rsidRDefault="00B24D3D" w:rsidP="002A7320">
    <w:pPr>
      <w:pStyle w:val="a3"/>
      <w:contextualSpacing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503" w:rsidRPr="00255503" w:rsidRDefault="00B24D3D" w:rsidP="002A7320">
    <w:pPr>
      <w:pStyle w:val="a3"/>
      <w:ind w:left="720"/>
      <w:contextualSpacing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442FD2"/>
    <w:multiLevelType w:val="multilevel"/>
    <w:tmpl w:val="D64A4DA2"/>
    <w:lvl w:ilvl="0">
      <w:start w:val="1"/>
      <w:numFmt w:val="decimal"/>
      <w:pStyle w:val="1"/>
      <w:lvlText w:val="%1.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trike w:val="0"/>
        <w:dstrike w:val="0"/>
        <w:vanish w:val="0"/>
        <w:sz w:val="24"/>
        <w:vertAlign w:val="baseline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E47"/>
    <w:rsid w:val="00071725"/>
    <w:rsid w:val="000A41FD"/>
    <w:rsid w:val="000B7ECC"/>
    <w:rsid w:val="000D74B3"/>
    <w:rsid w:val="00101C5C"/>
    <w:rsid w:val="0012095B"/>
    <w:rsid w:val="001A1A38"/>
    <w:rsid w:val="001C4F0C"/>
    <w:rsid w:val="00202054"/>
    <w:rsid w:val="003412A2"/>
    <w:rsid w:val="00383E9D"/>
    <w:rsid w:val="00435AAD"/>
    <w:rsid w:val="00461F30"/>
    <w:rsid w:val="004B200D"/>
    <w:rsid w:val="004C2B1D"/>
    <w:rsid w:val="00552A7B"/>
    <w:rsid w:val="00564165"/>
    <w:rsid w:val="00614E47"/>
    <w:rsid w:val="00655574"/>
    <w:rsid w:val="006567AA"/>
    <w:rsid w:val="006D658E"/>
    <w:rsid w:val="00806138"/>
    <w:rsid w:val="00896867"/>
    <w:rsid w:val="008B7946"/>
    <w:rsid w:val="00942BFE"/>
    <w:rsid w:val="00955031"/>
    <w:rsid w:val="00A83F9B"/>
    <w:rsid w:val="00A94AAF"/>
    <w:rsid w:val="00AA7FC5"/>
    <w:rsid w:val="00AC6400"/>
    <w:rsid w:val="00B24D3D"/>
    <w:rsid w:val="00B61656"/>
    <w:rsid w:val="00B64F60"/>
    <w:rsid w:val="00C21572"/>
    <w:rsid w:val="00CA6504"/>
    <w:rsid w:val="00D12F44"/>
    <w:rsid w:val="00DB5894"/>
    <w:rsid w:val="00E66723"/>
    <w:rsid w:val="00E71492"/>
    <w:rsid w:val="00EB071B"/>
    <w:rsid w:val="00F34691"/>
    <w:rsid w:val="00F53963"/>
    <w:rsid w:val="00FD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9BF344B0-E751-45AB-AADD-32BFC2BC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12A2"/>
    <w:pPr>
      <w:keepNext/>
      <w:keepLines/>
      <w:numPr>
        <w:numId w:val="1"/>
      </w:numPr>
      <w:tabs>
        <w:tab w:val="left" w:pos="425"/>
      </w:tabs>
      <w:spacing w:before="120" w:after="240" w:line="240" w:lineRule="auto"/>
      <w:jc w:val="both"/>
      <w:outlineLvl w:val="0"/>
    </w:pPr>
    <w:rPr>
      <w:rFonts w:ascii="Times New Roman" w:eastAsiaTheme="majorEastAsia" w:hAnsi="Times New Roman" w:cstheme="majorBidi"/>
      <w:b/>
      <w:caps/>
      <w:sz w:val="24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12A2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12A2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12A2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12A2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12A2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12A2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12A2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12A2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7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7946"/>
  </w:style>
  <w:style w:type="paragraph" w:styleId="a5">
    <w:name w:val="footer"/>
    <w:basedOn w:val="a"/>
    <w:link w:val="a6"/>
    <w:uiPriority w:val="99"/>
    <w:unhideWhenUsed/>
    <w:rsid w:val="008B7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7946"/>
  </w:style>
  <w:style w:type="paragraph" w:customStyle="1" w:styleId="a7">
    <w:name w:val="перечень таблиц"/>
    <w:basedOn w:val="a"/>
    <w:qFormat/>
    <w:rsid w:val="003412A2"/>
    <w:pPr>
      <w:spacing w:before="240" w:after="240" w:line="240" w:lineRule="auto"/>
      <w:jc w:val="center"/>
    </w:pPr>
    <w:rPr>
      <w:rFonts w:ascii="Times New Roman" w:hAnsi="Times New Roman"/>
      <w:b/>
      <w:caps/>
    </w:rPr>
  </w:style>
  <w:style w:type="character" w:customStyle="1" w:styleId="10">
    <w:name w:val="Заголовок 1 Знак"/>
    <w:basedOn w:val="a0"/>
    <w:link w:val="1"/>
    <w:uiPriority w:val="9"/>
    <w:rsid w:val="003412A2"/>
    <w:rPr>
      <w:rFonts w:ascii="Times New Roman" w:eastAsiaTheme="majorEastAsia" w:hAnsi="Times New Roman" w:cstheme="majorBidi"/>
      <w:b/>
      <w:caps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12A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412A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12A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412A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412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412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3412A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12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a8">
    <w:name w:val="Hyperlink"/>
    <w:basedOn w:val="a0"/>
    <w:uiPriority w:val="99"/>
    <w:unhideWhenUsed/>
    <w:rsid w:val="00E71492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E71492"/>
    <w:pPr>
      <w:tabs>
        <w:tab w:val="right" w:leader="dot" w:pos="9356"/>
      </w:tabs>
      <w:spacing w:after="0" w:line="240" w:lineRule="auto"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9A512-D731-4C0C-B3E3-EE6A96215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7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Шикова</dc:creator>
  <cp:keywords/>
  <dc:description/>
  <cp:lastModifiedBy>Виктор Субочев</cp:lastModifiedBy>
  <cp:revision>6</cp:revision>
  <cp:lastPrinted>2023-10-19T05:34:00Z</cp:lastPrinted>
  <dcterms:created xsi:type="dcterms:W3CDTF">2023-10-12T15:27:00Z</dcterms:created>
  <dcterms:modified xsi:type="dcterms:W3CDTF">2023-10-19T05:34:00Z</dcterms:modified>
</cp:coreProperties>
</file>