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нормативных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правовых актов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касающихся деятельности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департамента земельных отношений администрации города Перми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Нормативные правовые акты Российской Федерации: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09"/>
        <w:numPr>
          <w:ilvl w:val="0"/>
          <w:numId w:val="17"/>
        </w:numPr>
        <w:contextualSpacing w:val="0"/>
        <w:ind w:left="426" w:hanging="426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numPr>
          <w:ilvl w:val="0"/>
          <w:numId w:val="17"/>
        </w:numPr>
        <w:contextualSpacing w:val="0"/>
        <w:ind w:left="426" w:hanging="426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Гражданский кодекс Российской Федерации;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numPr>
          <w:ilvl w:val="0"/>
          <w:numId w:val="17"/>
        </w:numPr>
        <w:contextualSpacing w:val="0"/>
        <w:ind w:left="426" w:hanging="426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кодекс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 xml:space="preserve">25.10.2001 №</w:t>
      </w:r>
      <w:r>
        <w:rPr>
          <w:rFonts w:ascii="Times New Roman" w:hAnsi="Times New Roman" w:cs="Times New Roman"/>
          <w:sz w:val="28"/>
          <w:szCs w:val="28"/>
        </w:rPr>
        <w:t xml:space="preserve"> 136-ФЗ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numPr>
          <w:ilvl w:val="0"/>
          <w:numId w:val="17"/>
        </w:numPr>
        <w:contextualSpacing w:val="0"/>
        <w:ind w:left="426" w:hanging="426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Градостроительный кодекс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от 29.12.2004 №</w:t>
      </w:r>
      <w:r>
        <w:rPr>
          <w:rFonts w:ascii="Times New Roman" w:hAnsi="Times New Roman" w:cs="Times New Roman"/>
          <w:sz w:val="28"/>
          <w:szCs w:val="28"/>
        </w:rPr>
        <w:t xml:space="preserve"> 190-ФЗ;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numPr>
          <w:ilvl w:val="0"/>
          <w:numId w:val="17"/>
        </w:numPr>
        <w:contextualSpacing w:val="0"/>
        <w:ind w:left="426" w:hanging="426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Водный кодекс Росси</w:t>
      </w:r>
      <w:r>
        <w:rPr>
          <w:rFonts w:ascii="Times New Roman" w:hAnsi="Times New Roman" w:cs="Times New Roman"/>
          <w:sz w:val="28"/>
          <w:szCs w:val="28"/>
        </w:rPr>
        <w:t xml:space="preserve">йской Федерации от 03.06.2006 № </w:t>
      </w:r>
      <w:r>
        <w:rPr>
          <w:rFonts w:ascii="Times New Roman" w:hAnsi="Times New Roman" w:cs="Times New Roman"/>
          <w:sz w:val="28"/>
          <w:szCs w:val="28"/>
        </w:rPr>
        <w:t xml:space="preserve">74-ФЗ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numPr>
          <w:ilvl w:val="0"/>
          <w:numId w:val="17"/>
        </w:numPr>
        <w:contextualSpacing w:val="0"/>
        <w:ind w:left="426" w:hanging="426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24.11.1995 № 181-ФЗ «О социальной защите ин</w:t>
      </w:r>
      <w:r>
        <w:rPr>
          <w:rFonts w:ascii="Times New Roman" w:hAnsi="Times New Roman" w:cs="Times New Roman"/>
          <w:sz w:val="28"/>
          <w:szCs w:val="28"/>
        </w:rPr>
        <w:t xml:space="preserve">валидов в Российской Федерации»;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numPr>
          <w:ilvl w:val="0"/>
          <w:numId w:val="17"/>
        </w:numPr>
        <w:contextualSpacing w:val="0"/>
        <w:ind w:left="426" w:hanging="426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25.10.2001 № 137-ФЗ «О введении в действие Земельного кодекса Российской Федерации»;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numPr>
          <w:ilvl w:val="0"/>
          <w:numId w:val="17"/>
        </w:numPr>
        <w:contextualSpacing w:val="0"/>
        <w:ind w:left="360" w:hanging="426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26.10.2002 № 127-ФЗ «О несостоятельности (банкротстве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numPr>
          <w:ilvl w:val="0"/>
          <w:numId w:val="17"/>
        </w:numPr>
        <w:contextualSpacing w:val="0"/>
        <w:ind w:left="360" w:hanging="426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22.08.2004 № 122-ФЗ «О внесении изменений в законодательные акты Российской Федерации и признании </w:t>
      </w:r>
      <w:r>
        <w:rPr>
          <w:rFonts w:ascii="Times New Roman" w:hAnsi="Times New Roman" w:cs="Times New Roman"/>
          <w:sz w:val="28"/>
          <w:szCs w:val="28"/>
        </w:rPr>
        <w:t xml:space="preserve">утратившими</w:t>
      </w:r>
      <w:r>
        <w:rPr>
          <w:rFonts w:ascii="Times New Roman" w:hAnsi="Times New Roman" w:cs="Times New Roman"/>
          <w:sz w:val="28"/>
          <w:szCs w:val="28"/>
        </w:rPr>
        <w:t xml:space="preserve"> силу некоторых законодательных актов Российской Федерации в связи с принятием федеральных законов «О внесении изменений и допо</w:t>
      </w:r>
      <w:r>
        <w:rPr>
          <w:rFonts w:ascii="Times New Roman" w:hAnsi="Times New Roman" w:cs="Times New Roman"/>
          <w:sz w:val="28"/>
          <w:szCs w:val="28"/>
        </w:rPr>
        <w:t xml:space="preserve">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Федеральный закон от 02.05.2006 № 59-ФЗ «О порядке рассмотрения обращений граждан Российской Федерации»;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numPr>
          <w:ilvl w:val="0"/>
          <w:numId w:val="17"/>
        </w:numPr>
        <w:contextualSpacing w:val="0"/>
        <w:ind w:left="426" w:hanging="426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24.07.2007 № 221-ФЗ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кадастровой 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numPr>
          <w:ilvl w:val="0"/>
          <w:numId w:val="17"/>
        </w:numPr>
        <w:contextualSpacing w:val="0"/>
        <w:ind w:left="426" w:hanging="426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09.02.2009 № 8-ФЗ «Об обеспечении доступа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информации о деятельности государственных органов 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numPr>
          <w:ilvl w:val="0"/>
          <w:numId w:val="17"/>
        </w:numPr>
        <w:contextualSpacing w:val="0"/>
        <w:ind w:left="426" w:hanging="426"/>
        <w:jc w:val="both"/>
        <w:spacing w:after="0" w:line="240" w:lineRule="auto"/>
        <w:tabs>
          <w:tab w:val="left" w:pos="142" w:leader="none"/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27.07.2010 № 210-ФЗ «Об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государ</w:t>
      </w:r>
      <w:r>
        <w:rPr>
          <w:rFonts w:ascii="Times New Roman" w:hAnsi="Times New Roman" w:cs="Times New Roman"/>
          <w:sz w:val="28"/>
          <w:szCs w:val="28"/>
        </w:rPr>
        <w:t xml:space="preserve">ственных и муниципальных услуг»;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numPr>
          <w:ilvl w:val="0"/>
          <w:numId w:val="17"/>
        </w:numPr>
        <w:contextualSpacing w:val="0"/>
        <w:ind w:left="426" w:hanging="426"/>
        <w:jc w:val="both"/>
        <w:spacing w:after="0" w:line="240" w:lineRule="auto"/>
        <w:tabs>
          <w:tab w:val="left" w:pos="142" w:leader="none"/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23.06.2014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171-ФЗ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Земельный кодекс Российской Федерации и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numPr>
          <w:ilvl w:val="0"/>
          <w:numId w:val="17"/>
        </w:numPr>
        <w:contextualSpacing w:val="0"/>
        <w:ind w:left="426" w:hanging="426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</w:t>
      </w:r>
      <w:r>
        <w:rPr>
          <w:rFonts w:ascii="Times New Roman" w:hAnsi="Times New Roman" w:cs="Times New Roman"/>
          <w:sz w:val="28"/>
          <w:szCs w:val="28"/>
        </w:rPr>
        <w:t xml:space="preserve">й закон от 13.07.2015 № 218-ФЗ </w:t>
      </w:r>
      <w:r>
        <w:rPr>
          <w:rFonts w:ascii="Times New Roman" w:hAnsi="Times New Roman" w:cs="Times New Roman"/>
          <w:sz w:val="28"/>
          <w:szCs w:val="28"/>
        </w:rPr>
        <w:t xml:space="preserve">«О государственной регистрации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numPr>
          <w:ilvl w:val="0"/>
          <w:numId w:val="17"/>
        </w:numPr>
        <w:contextualSpacing w:val="0"/>
        <w:ind w:left="426" w:hanging="426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29.07.2017 № 21</w:t>
      </w:r>
      <w:r>
        <w:rPr>
          <w:rFonts w:ascii="Times New Roman" w:hAnsi="Times New Roman" w:cs="Times New Roman"/>
          <w:sz w:val="28"/>
          <w:szCs w:val="28"/>
        </w:rPr>
        <w:t xml:space="preserve">7-ФЗ «</w:t>
      </w:r>
      <w:r>
        <w:rPr>
          <w:rFonts w:ascii="Times New Roman" w:hAnsi="Times New Roman" w:cs="Times New Roman"/>
          <w:sz w:val="28"/>
          <w:szCs w:val="28"/>
        </w:rPr>
        <w:t xml:space="preserve">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numPr>
          <w:ilvl w:val="0"/>
          <w:numId w:val="17"/>
        </w:numPr>
        <w:contextualSpacing w:val="0"/>
        <w:ind w:left="426" w:hanging="426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01.04.2020 № 98-ФЗ «О внесении изменений в отдельные законодательные акты Российской Федерации по вопросам предупреждения и ликвидации чрезвычайных ситуаций»;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numPr>
          <w:ilvl w:val="0"/>
          <w:numId w:val="17"/>
        </w:numPr>
        <w:contextualSpacing w:val="0"/>
        <w:ind w:left="426" w:hanging="426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31.07.2020 № 254-ФЗ «Об особенностях регулирования отдельных отношений в целях модернизации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расширения магистральной инфраструктуры и о внесении изменений в отдельные законодательные</w:t>
      </w:r>
      <w:r>
        <w:rPr>
          <w:rFonts w:ascii="Times New Roman" w:hAnsi="Times New Roman" w:cs="Times New Roman"/>
          <w:sz w:val="28"/>
          <w:szCs w:val="28"/>
        </w:rPr>
        <w:t xml:space="preserve"> акты Российской Федерации»;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numPr>
          <w:ilvl w:val="0"/>
          <w:numId w:val="17"/>
        </w:numPr>
        <w:contextualSpacing w:val="0"/>
        <w:ind w:left="426" w:hanging="426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31.07.2020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248-ФЗ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numPr>
          <w:ilvl w:val="0"/>
          <w:numId w:val="17"/>
        </w:numPr>
        <w:contextualSpacing w:val="0"/>
        <w:ind w:left="426" w:hanging="426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РФ от 20.11.2000 </w:t>
      </w:r>
      <w:r>
        <w:rPr>
          <w:rFonts w:ascii="Times New Roman" w:hAnsi="Times New Roman" w:cs="Times New Roman"/>
          <w:sz w:val="28"/>
          <w:szCs w:val="28"/>
        </w:rPr>
        <w:t xml:space="preserve">№ 878 «Об утверждении Правил охраны газораспределительных сетей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numPr>
          <w:ilvl w:val="0"/>
          <w:numId w:val="17"/>
        </w:numPr>
        <w:contextualSpacing w:val="0"/>
        <w:ind w:left="426" w:hanging="426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Правит</w:t>
      </w:r>
      <w:r>
        <w:rPr>
          <w:rFonts w:ascii="Times New Roman" w:hAnsi="Times New Roman" w:cs="Times New Roman"/>
          <w:sz w:val="28"/>
          <w:szCs w:val="28"/>
        </w:rPr>
        <w:t xml:space="preserve">ельства РФ от 24.02.2009 № 160 </w:t>
      </w:r>
      <w:r>
        <w:rPr>
          <w:rFonts w:ascii="Times New Roman" w:hAnsi="Times New Roman" w:cs="Times New Roman"/>
          <w:sz w:val="28"/>
          <w:szCs w:val="28"/>
        </w:rPr>
        <w:t xml:space="preserve">«О порядке установления охранных зон объектов электросетевого хозяйства и особых условий использования земельных участков, расположенных в границах</w:t>
      </w:r>
      <w:r>
        <w:rPr>
          <w:rFonts w:ascii="Times New Roman" w:hAnsi="Times New Roman" w:cs="Times New Roman"/>
          <w:sz w:val="28"/>
          <w:szCs w:val="28"/>
        </w:rPr>
        <w:t xml:space="preserve"> таких зон»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numPr>
          <w:ilvl w:val="0"/>
          <w:numId w:val="17"/>
        </w:numPr>
        <w:contextualSpacing w:val="0"/>
        <w:ind w:left="426" w:hanging="426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11.03.2010 № 138 «Об утверждении Федеральных правил использования воздушного пространства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numPr>
          <w:ilvl w:val="0"/>
          <w:numId w:val="17"/>
        </w:numPr>
        <w:contextualSpacing w:val="0"/>
        <w:ind w:left="426" w:hanging="426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27.11.2014 № 1244 «Об утверждении Правил выдачи разрешения на использование земель или земельного участка, находящихся в государственной или 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ипальной собственности»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numPr>
          <w:ilvl w:val="0"/>
          <w:numId w:val="17"/>
        </w:numPr>
        <w:contextualSpacing w:val="0"/>
        <w:ind w:left="426" w:hanging="426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03.12.2014 № 1300 «Об утверждении перечня видов объектов, размещение которых может осуществляться на землях или </w:t>
      </w:r>
      <w:r>
        <w:rPr>
          <w:rFonts w:ascii="Times New Roman" w:hAnsi="Times New Roman" w:cs="Times New Roman"/>
          <w:sz w:val="28"/>
          <w:szCs w:val="28"/>
        </w:rPr>
        <w:t xml:space="preserve">земельных участках, находящихся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или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,б</w:t>
      </w:r>
      <w:r>
        <w:rPr>
          <w:rFonts w:ascii="Times New Roman" w:hAnsi="Times New Roman" w:cs="Times New Roman"/>
          <w:sz w:val="28"/>
          <w:szCs w:val="28"/>
        </w:rPr>
        <w:t xml:space="preserve">ез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земельных участков и установления се</w:t>
      </w:r>
      <w:r>
        <w:rPr>
          <w:rFonts w:ascii="Times New Roman" w:hAnsi="Times New Roman" w:cs="Times New Roman"/>
          <w:sz w:val="28"/>
          <w:szCs w:val="28"/>
        </w:rPr>
        <w:t xml:space="preserve">рвитутов»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numPr>
          <w:ilvl w:val="0"/>
          <w:numId w:val="17"/>
        </w:numPr>
        <w:contextualSpacing w:val="0"/>
        <w:ind w:left="426" w:hanging="426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03.03.2018 № 222 «Об утверждении Правил установления санитарно-защитных зон и использования земельных участков, расположенных в границах санитарно-з</w:t>
      </w:r>
      <w:r>
        <w:rPr>
          <w:rFonts w:ascii="Times New Roman" w:hAnsi="Times New Roman" w:cs="Times New Roman"/>
          <w:sz w:val="28"/>
          <w:szCs w:val="28"/>
        </w:rPr>
        <w:t xml:space="preserve">ащитных зон»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numPr>
          <w:ilvl w:val="0"/>
          <w:numId w:val="17"/>
        </w:numPr>
        <w:contextualSpacing w:val="0"/>
        <w:ind w:left="426" w:hanging="426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«Правила охраны магистральных трубопроводов»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(утв. Минтопэнерго РФ 29.04.1992, Постановлением Госгортехнадзора РФ от 22.04.1992 № 9)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numPr>
          <w:ilvl w:val="0"/>
          <w:numId w:val="17"/>
        </w:numPr>
        <w:contextualSpacing w:val="0"/>
        <w:ind w:left="426" w:hanging="426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01.03.2022 № 277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направлении в личный кабинет заявителя в федеральной государственной информац</w:t>
      </w:r>
      <w:r>
        <w:rPr>
          <w:rFonts w:ascii="Times New Roman" w:hAnsi="Times New Roman" w:cs="Times New Roman"/>
          <w:sz w:val="28"/>
          <w:szCs w:val="28"/>
        </w:rPr>
        <w:t xml:space="preserve">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услуг», а также результатов предоставления государственной или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услуги, результатов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услуги, указанной в части 3 статьи 1 Федерального закона «Об организации предоставления государственных и муниципальных услуг»;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numPr>
          <w:ilvl w:val="0"/>
          <w:numId w:val="17"/>
        </w:numPr>
        <w:contextualSpacing w:val="0"/>
        <w:ind w:left="426" w:hanging="426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09.04.2022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629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 особенностях регулирования земельных отношений в Российской Федерации в 2022 и 2023 годах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numPr>
          <w:ilvl w:val="0"/>
          <w:numId w:val="17"/>
        </w:numPr>
        <w:contextualSpacing w:val="0"/>
        <w:ind w:left="426" w:hanging="426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Минэкономразвития России от 14.01.2011 № 9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ставок арендной платы в отношении земельных участков, находящихся в собственности Российской Федерации и предоставленных (занятых) для размещения газопроводов и иных трубопроводов аналогичного назначен</w:t>
      </w:r>
      <w:r>
        <w:rPr>
          <w:rFonts w:ascii="Times New Roman" w:hAnsi="Times New Roman" w:cs="Times New Roman"/>
          <w:sz w:val="28"/>
          <w:szCs w:val="28"/>
        </w:rPr>
        <w:t xml:space="preserve">ия, их конструктивных элементов»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numPr>
          <w:ilvl w:val="0"/>
          <w:numId w:val="17"/>
        </w:numPr>
        <w:contextualSpacing w:val="0"/>
        <w:ind w:left="426" w:hanging="426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Минэкономразвития России от 22.09.2011 № 507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ставок арендной платы в отношении земельных участков, находящихся в собственности Российской Федерации и предоставленных (занятых) для размещения объектов электроэнергетики (за искл</w:t>
      </w:r>
      <w:r>
        <w:rPr>
          <w:rFonts w:ascii="Times New Roman" w:hAnsi="Times New Roman" w:cs="Times New Roman"/>
          <w:sz w:val="28"/>
          <w:szCs w:val="28"/>
        </w:rPr>
        <w:t xml:space="preserve">ючением генерирующих мощностей)»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numPr>
          <w:ilvl w:val="0"/>
          <w:numId w:val="17"/>
        </w:numPr>
        <w:contextualSpacing w:val="0"/>
        <w:ind w:left="426" w:hanging="426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Минэкономразвития России от 23.04.2013 № 217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ставки арендной платы в отношении земельных участков, находящихся в соб</w:t>
      </w:r>
      <w:r>
        <w:rPr>
          <w:rFonts w:ascii="Times New Roman" w:hAnsi="Times New Roman" w:cs="Times New Roman"/>
          <w:sz w:val="28"/>
          <w:szCs w:val="28"/>
        </w:rPr>
        <w:t xml:space="preserve">ственности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и предоставленных (занятых) для размещения трубопроводов и иных объектов, используемых в сфере тепло-, водоснабжения, водо</w:t>
      </w:r>
      <w:r>
        <w:rPr>
          <w:rFonts w:ascii="Times New Roman" w:hAnsi="Times New Roman" w:cs="Times New Roman"/>
          <w:sz w:val="28"/>
          <w:szCs w:val="28"/>
        </w:rPr>
        <w:t xml:space="preserve">отведения и очистки сточных вод»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numPr>
          <w:ilvl w:val="0"/>
          <w:numId w:val="17"/>
        </w:numPr>
        <w:contextualSpacing w:val="0"/>
        <w:ind w:left="426" w:hanging="426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Минэкономразвития России от 31.01.2013 № 33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ставки арендной платы в отношении земельных участков, находящихся в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и предоставленных (занятых) для размещения гидроэлектростанций, гидроаккумулирующих электростанций и других электростанций, использующих возобновляемые источники энергии, обслуживающих их сооружений и объектов, в том числе относящихся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гидротехническим сооружениям»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numPr>
          <w:ilvl w:val="0"/>
          <w:numId w:val="17"/>
        </w:numPr>
        <w:contextualSpacing w:val="0"/>
        <w:ind w:left="426" w:hanging="426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Минэкономразвития России от 18.06.2013 № 346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ставки арендной платы в отношении земельных участков, находящихся в собственности Российской Федерации  и предоставленных (занятых) для размещения линий связи, в том чис</w:t>
      </w:r>
      <w:r>
        <w:rPr>
          <w:rFonts w:ascii="Times New Roman" w:hAnsi="Times New Roman" w:cs="Times New Roman"/>
          <w:sz w:val="28"/>
          <w:szCs w:val="28"/>
        </w:rPr>
        <w:t xml:space="preserve">ле линейно-кабельных сооружений»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numPr>
          <w:ilvl w:val="0"/>
          <w:numId w:val="17"/>
        </w:numPr>
        <w:contextualSpacing w:val="0"/>
        <w:ind w:left="426" w:hanging="426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r>
        <w:rPr>
          <w:rFonts w:ascii="Times New Roman" w:hAnsi="Times New Roman" w:cs="Times New Roman"/>
          <w:sz w:val="28"/>
          <w:szCs w:val="28"/>
        </w:rPr>
        <w:t xml:space="preserve">Росреестра</w:t>
      </w:r>
      <w:r>
        <w:rPr>
          <w:rFonts w:ascii="Times New Roman" w:hAnsi="Times New Roman" w:cs="Times New Roman"/>
          <w:sz w:val="28"/>
          <w:szCs w:val="28"/>
        </w:rPr>
        <w:t xml:space="preserve"> от 19.04.2022 №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/0148 «Об утверждении требований к подготовк</w:t>
      </w:r>
      <w:r>
        <w:rPr>
          <w:rFonts w:ascii="Times New Roman" w:hAnsi="Times New Roman" w:cs="Times New Roman"/>
          <w:sz w:val="28"/>
          <w:szCs w:val="28"/>
        </w:rPr>
        <w:t xml:space="preserve">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</w:t>
      </w:r>
      <w:r>
        <w:rPr>
          <w:rFonts w:ascii="Times New Roman" w:hAnsi="Times New Roman" w:cs="Times New Roman"/>
          <w:sz w:val="28"/>
          <w:szCs w:val="28"/>
        </w:rPr>
        <w:t xml:space="preserve">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numPr>
          <w:ilvl w:val="0"/>
          <w:numId w:val="17"/>
        </w:numPr>
        <w:contextualSpacing w:val="0"/>
        <w:ind w:left="426" w:hanging="426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Минстроя России от 15.05.2020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264/</w:t>
      </w:r>
      <w:r>
        <w:rPr>
          <w:rFonts w:ascii="Times New Roman" w:hAnsi="Times New Roman" w:cs="Times New Roman"/>
          <w:sz w:val="28"/>
          <w:szCs w:val="28"/>
        </w:rPr>
        <w:t xml:space="preserve">пр</w:t>
      </w:r>
      <w:r>
        <w:rPr>
          <w:rFonts w:ascii="Times New Roman" w:hAnsi="Times New Roman" w:cs="Times New Roman"/>
          <w:sz w:val="28"/>
          <w:szCs w:val="28"/>
        </w:rPr>
        <w:t xml:space="preserve"> «Об установлении срока, необход</w:t>
      </w:r>
      <w:r>
        <w:rPr>
          <w:rFonts w:ascii="Times New Roman" w:hAnsi="Times New Roman" w:cs="Times New Roman"/>
          <w:sz w:val="28"/>
          <w:szCs w:val="28"/>
        </w:rPr>
        <w:t xml:space="preserve">имого для выполнения инженерных изысканий, осуществления архитектурно-строительного проектирования и строительства зданий, сооружений, в целях расчета срока договора аренды земельного участка, находящегося в государственной или муниципальной собственности»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numPr>
          <w:ilvl w:val="0"/>
          <w:numId w:val="17"/>
        </w:numPr>
        <w:contextualSpacing w:val="0"/>
        <w:ind w:left="426" w:hanging="426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r>
        <w:rPr>
          <w:rFonts w:ascii="Times New Roman" w:hAnsi="Times New Roman" w:cs="Times New Roman"/>
          <w:sz w:val="28"/>
          <w:szCs w:val="28"/>
        </w:rPr>
        <w:t xml:space="preserve">Росреестра</w:t>
      </w:r>
      <w:r>
        <w:rPr>
          <w:rFonts w:ascii="Times New Roman" w:hAnsi="Times New Roman" w:cs="Times New Roman"/>
          <w:sz w:val="28"/>
          <w:szCs w:val="28"/>
        </w:rPr>
        <w:t xml:space="preserve"> от 02.09.2020 №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/0321 «Об утверждении перечня документов, подтверждающих право заявителя на приобретение земельного участка без проведения торгов»;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numPr>
          <w:ilvl w:val="0"/>
          <w:numId w:val="17"/>
        </w:numPr>
        <w:contextualSpacing w:val="0"/>
        <w:ind w:left="426" w:hanging="426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r>
        <w:rPr>
          <w:rFonts w:ascii="Times New Roman" w:hAnsi="Times New Roman" w:cs="Times New Roman"/>
          <w:sz w:val="28"/>
          <w:szCs w:val="28"/>
        </w:rPr>
        <w:t xml:space="preserve">Росреестра</w:t>
      </w:r>
      <w:r>
        <w:rPr>
          <w:rFonts w:ascii="Times New Roman" w:hAnsi="Times New Roman" w:cs="Times New Roman"/>
          <w:sz w:val="28"/>
          <w:szCs w:val="28"/>
        </w:rPr>
        <w:t xml:space="preserve"> от 10.11.2020 №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/0412 «Об утверждении классификатора видов разрешенного использования земельных участков»</w:t>
      </w:r>
      <w:r>
        <w:rPr>
          <w:rFonts w:ascii="Times New Roman" w:hAnsi="Times New Roman" w:cs="Times New Roman"/>
          <w:sz w:val="28"/>
          <w:szCs w:val="28"/>
        </w:rPr>
        <w:t xml:space="preserve"> (в соответствии с </w:t>
      </w:r>
      <w:hyperlink r:id="rId11" w:tooltip="consultantplus://offline/ref=8B451CAA6ADD81F3F6685E97600C16B411B1901DFA0474A10805FD1F07BBB7DF56EFFF16BEDCD2C6B52B18165DE8C1E12599D706FCD24FC7N7gAI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2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данный документ вступает в силу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даты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вступления в силу приказа Минэкономразвития России о признани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утратившим силу </w:t>
      </w:r>
      <w:hyperlink r:id="rId12" w:tooltip="consultantplus://offline/ref=8B451CAA6ADD81F3F6685E97600C16B411B4901CF60B74A10805FD1F07BBB7DF44EFA71ABEDFCCC6B13E4E471BNBgCI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Минэкономразвития России от 01.09.2014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540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26" w:hanging="426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contextualSpacing w:val="0"/>
        <w:ind w:left="426"/>
        <w:jc w:val="center"/>
        <w:tabs>
          <w:tab w:val="left" w:pos="426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Нормативные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акты Пермского края</w:t>
      </w:r>
      <w:r>
        <w:rPr>
          <w:rFonts w:ascii="Times New Roman" w:hAnsi="Times New Roman" w:cs="Times New Roman"/>
          <w:b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09"/>
        <w:numPr>
          <w:ilvl w:val="0"/>
          <w:numId w:val="18"/>
        </w:numPr>
        <w:ind w:left="426" w:hanging="426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 Пермско</w:t>
      </w:r>
      <w:r>
        <w:rPr>
          <w:rFonts w:ascii="Times New Roman" w:hAnsi="Times New Roman" w:cs="Times New Roman"/>
          <w:sz w:val="28"/>
          <w:szCs w:val="28"/>
        </w:rPr>
        <w:t xml:space="preserve">го края от 07.04.2010 № 604-ПК «</w:t>
      </w:r>
      <w:r>
        <w:rPr>
          <w:rFonts w:ascii="Times New Roman" w:hAnsi="Times New Roman" w:cs="Times New Roman"/>
          <w:sz w:val="28"/>
          <w:szCs w:val="28"/>
        </w:rPr>
        <w:t xml:space="preserve">О порядках определения размера арендной платы за земельные участки, находящиеся в собственности Пермского края, и земельные участки, государственная собственность на которые н</w:t>
      </w:r>
      <w:r>
        <w:rPr>
          <w:rFonts w:ascii="Times New Roman" w:hAnsi="Times New Roman" w:cs="Times New Roman"/>
          <w:sz w:val="28"/>
          <w:szCs w:val="28"/>
        </w:rPr>
        <w:t xml:space="preserve">е разграничена, предоставленные в аренду без торгов, а также размера платы по соглашению об установлении сервитута в отношении земельных участков, находящихся в собственности Пермского края, и земельных участков, государственная собственность на которые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разграничена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numPr>
          <w:ilvl w:val="0"/>
          <w:numId w:val="18"/>
        </w:numPr>
        <w:contextualSpacing w:val="0"/>
        <w:ind w:left="426" w:hanging="426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 Пермско</w:t>
      </w:r>
      <w:r>
        <w:rPr>
          <w:rFonts w:ascii="Times New Roman" w:hAnsi="Times New Roman" w:cs="Times New Roman"/>
          <w:sz w:val="28"/>
          <w:szCs w:val="28"/>
        </w:rPr>
        <w:t xml:space="preserve">го края от 07.10.2011 № 837-ПК «</w:t>
      </w:r>
      <w:r>
        <w:rPr>
          <w:rFonts w:ascii="Times New Roman" w:hAnsi="Times New Roman" w:cs="Times New Roman"/>
          <w:sz w:val="28"/>
          <w:szCs w:val="28"/>
        </w:rPr>
        <w:t xml:space="preserve">О порядках определения цены продажи земельных участков, находящихся в собственности Пермского края или государственная собственность на которые не разграничена, без проведения торгов, а также разме</w:t>
      </w:r>
      <w:r>
        <w:rPr>
          <w:rFonts w:ascii="Times New Roman" w:hAnsi="Times New Roman" w:cs="Times New Roman"/>
          <w:sz w:val="28"/>
          <w:szCs w:val="28"/>
        </w:rPr>
        <w:t xml:space="preserve">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Пермского края, земель или земельных участков, государственная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собственно</w:t>
      </w:r>
      <w:r>
        <w:rPr>
          <w:rFonts w:ascii="Times New Roman" w:hAnsi="Times New Roman" w:cs="Times New Roman"/>
          <w:sz w:val="28"/>
          <w:szCs w:val="28"/>
        </w:rPr>
        <w:t xml:space="preserve">сть</w:t>
      </w:r>
      <w:r>
        <w:rPr>
          <w:rFonts w:ascii="Times New Roman" w:hAnsi="Times New Roman" w:cs="Times New Roman"/>
          <w:sz w:val="28"/>
          <w:szCs w:val="28"/>
        </w:rPr>
        <w:t xml:space="preserve"> на которые не разграничена»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numPr>
          <w:ilvl w:val="0"/>
          <w:numId w:val="18"/>
        </w:numPr>
        <w:contextualSpacing w:val="0"/>
        <w:ind w:left="426" w:hanging="426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 Пермско</w:t>
      </w:r>
      <w:r>
        <w:rPr>
          <w:rFonts w:ascii="Times New Roman" w:hAnsi="Times New Roman" w:cs="Times New Roman"/>
          <w:sz w:val="28"/>
          <w:szCs w:val="28"/>
        </w:rPr>
        <w:t xml:space="preserve">го края от 01.12.2011 № 871-ПК «</w:t>
      </w:r>
      <w:r>
        <w:rPr>
          <w:rFonts w:ascii="Times New Roman" w:hAnsi="Times New Roman" w:cs="Times New Roman"/>
          <w:sz w:val="28"/>
          <w:szCs w:val="28"/>
        </w:rPr>
        <w:t xml:space="preserve">О бесплатном предоставлении земельных участков многодетным сем</w:t>
      </w:r>
      <w:r>
        <w:rPr>
          <w:rFonts w:ascii="Times New Roman" w:hAnsi="Times New Roman" w:cs="Times New Roman"/>
          <w:sz w:val="28"/>
          <w:szCs w:val="28"/>
        </w:rPr>
        <w:t xml:space="preserve">ьям в Пермском крае»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numPr>
          <w:ilvl w:val="0"/>
          <w:numId w:val="18"/>
        </w:numPr>
        <w:contextualSpacing w:val="0"/>
        <w:ind w:left="426" w:hanging="426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</w:t>
      </w:r>
      <w:r>
        <w:rPr>
          <w:rFonts w:ascii="Times New Roman" w:hAnsi="Times New Roman" w:cs="Times New Roman"/>
          <w:sz w:val="28"/>
          <w:szCs w:val="28"/>
        </w:rPr>
        <w:t xml:space="preserve">н Пермского края от 09.07.2015 №</w:t>
      </w:r>
      <w:r>
        <w:rPr>
          <w:rFonts w:ascii="Times New Roman" w:hAnsi="Times New Roman" w:cs="Times New Roman"/>
          <w:sz w:val="28"/>
          <w:szCs w:val="28"/>
        </w:rPr>
        <w:t xml:space="preserve"> 503-ПК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</w:t>
      </w:r>
      <w:r>
        <w:rPr>
          <w:rFonts w:ascii="Times New Roman" w:hAnsi="Times New Roman" w:cs="Times New Roman"/>
          <w:sz w:val="28"/>
          <w:szCs w:val="28"/>
        </w:rPr>
        <w:t xml:space="preserve">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земельные участки предоставляются в аренду без проведения торгов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numPr>
          <w:ilvl w:val="0"/>
          <w:numId w:val="18"/>
        </w:numPr>
        <w:contextualSpacing w:val="0"/>
        <w:ind w:left="426" w:hanging="426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 Пермского края от 01.09.2021 № 698-ПК «О регулировании отдельных вопросов, связанных с оформлением прав граждан на гаражи и </w:t>
      </w:r>
      <w:r>
        <w:rPr>
          <w:rFonts w:ascii="Times New Roman" w:hAnsi="Times New Roman" w:cs="Times New Roman"/>
          <w:sz w:val="28"/>
          <w:szCs w:val="28"/>
        </w:rPr>
        <w:t xml:space="preserve">земельные участки, на которых они расположены, о внесении изменений в Закон Пермского края «О полномочиях органов государственной власти Пермского края в сфере земельных отношений» и признании </w:t>
      </w:r>
      <w:r>
        <w:rPr>
          <w:rFonts w:ascii="Times New Roman" w:hAnsi="Times New Roman" w:cs="Times New Roman"/>
          <w:sz w:val="28"/>
          <w:szCs w:val="28"/>
        </w:rPr>
        <w:t xml:space="preserve">утратившими</w:t>
      </w:r>
      <w:r>
        <w:rPr>
          <w:rFonts w:ascii="Times New Roman" w:hAnsi="Times New Roman" w:cs="Times New Roman"/>
          <w:sz w:val="28"/>
          <w:szCs w:val="28"/>
        </w:rPr>
        <w:t xml:space="preserve"> силу отдельных законов Пермского края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numPr>
          <w:ilvl w:val="0"/>
          <w:numId w:val="18"/>
        </w:numPr>
        <w:contextualSpacing w:val="0"/>
        <w:ind w:left="426" w:hanging="426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Пермского края от 22.07.2015 № 478-п «Об утверждении Положени</w:t>
      </w:r>
      <w:r>
        <w:rPr>
          <w:rFonts w:ascii="Times New Roman" w:hAnsi="Times New Roman" w:cs="Times New Roman"/>
          <w:sz w:val="28"/>
          <w:szCs w:val="28"/>
        </w:rPr>
        <w:t xml:space="preserve">я о порядке и условиях размещения объектов на землях или земельных участках, находящихся в государственной или муниципальной собственности, на территории Пермского края без предоставления земельных участков и установления сервитутов, публичного сервитута»;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numPr>
          <w:ilvl w:val="0"/>
          <w:numId w:val="18"/>
        </w:numPr>
        <w:contextualSpacing w:val="0"/>
        <w:ind w:left="426" w:hanging="426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</w:t>
      </w:r>
      <w:r>
        <w:rPr>
          <w:rFonts w:ascii="Times New Roman" w:hAnsi="Times New Roman" w:cs="Times New Roman"/>
          <w:sz w:val="28"/>
          <w:szCs w:val="28"/>
        </w:rPr>
        <w:t xml:space="preserve">льства Пермского края от 14.10.2021 № 764-п «Об утверждении Порядка утверждения органами местного самоуправления Пермского края схем размещения гражданами гаражей, являющихся некапитальными сооружениями, либо стоянок технических или других средств передвиж</w:t>
      </w:r>
      <w:r>
        <w:rPr>
          <w:rFonts w:ascii="Times New Roman" w:hAnsi="Times New Roman" w:cs="Times New Roman"/>
          <w:sz w:val="28"/>
          <w:szCs w:val="28"/>
        </w:rPr>
        <w:t xml:space="preserve">ения инвалидов вблизи их места жительства на землях или земельных участках, находящихся в государственной или муниципальной собственности, Порядка определения платы за использование земельных участков, находящихся в собственности Пермского края, земель или</w:t>
      </w:r>
      <w:r>
        <w:rPr>
          <w:rFonts w:ascii="Times New Roman" w:hAnsi="Times New Roman" w:cs="Times New Roman"/>
          <w:sz w:val="28"/>
          <w:szCs w:val="28"/>
        </w:rPr>
        <w:t xml:space="preserve"> земельных участков, государственная собственность на которые не разграничена, для возведения гражданами гаражей, являющихся некапитальными сооружениями».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26" w:hanging="426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contextualSpacing w:val="0"/>
        <w:ind w:left="426"/>
        <w:jc w:val="center"/>
        <w:tabs>
          <w:tab w:val="left" w:pos="426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</w:t>
      </w:r>
      <w:r>
        <w:rPr>
          <w:rFonts w:ascii="Times New Roman" w:hAnsi="Times New Roman" w:cs="Times New Roman"/>
          <w:b/>
          <w:sz w:val="28"/>
          <w:szCs w:val="28"/>
        </w:rPr>
        <w:t xml:space="preserve">равовые акты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города Перми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09"/>
        <w:numPr>
          <w:ilvl w:val="0"/>
          <w:numId w:val="19"/>
        </w:numPr>
        <w:contextualSpacing w:val="0"/>
        <w:ind w:left="426" w:hanging="426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Пермско</w:t>
      </w:r>
      <w:r>
        <w:rPr>
          <w:rFonts w:ascii="Times New Roman" w:hAnsi="Times New Roman" w:cs="Times New Roman"/>
          <w:sz w:val="28"/>
          <w:szCs w:val="28"/>
        </w:rPr>
        <w:t xml:space="preserve">й городской Думы от 08.11.2005 №</w:t>
      </w:r>
      <w:r>
        <w:rPr>
          <w:rFonts w:ascii="Times New Roman" w:hAnsi="Times New Roman" w:cs="Times New Roman"/>
          <w:sz w:val="28"/>
          <w:szCs w:val="28"/>
        </w:rPr>
        <w:t xml:space="preserve"> 187 «</w:t>
      </w:r>
      <w:r>
        <w:rPr>
          <w:rFonts w:ascii="Times New Roman" w:hAnsi="Times New Roman" w:cs="Times New Roman"/>
          <w:sz w:val="28"/>
          <w:szCs w:val="28"/>
        </w:rPr>
        <w:t xml:space="preserve">О земельном нал</w:t>
      </w:r>
      <w:r>
        <w:rPr>
          <w:rFonts w:ascii="Times New Roman" w:hAnsi="Times New Roman" w:cs="Times New Roman"/>
          <w:sz w:val="28"/>
          <w:szCs w:val="28"/>
        </w:rPr>
        <w:t xml:space="preserve">оге на территории города Перми»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numPr>
          <w:ilvl w:val="0"/>
          <w:numId w:val="19"/>
        </w:numPr>
        <w:contextualSpacing w:val="0"/>
        <w:ind w:left="426" w:hanging="426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Пермской город</w:t>
      </w:r>
      <w:r>
        <w:rPr>
          <w:rFonts w:ascii="Times New Roman" w:hAnsi="Times New Roman" w:cs="Times New Roman"/>
          <w:sz w:val="28"/>
          <w:szCs w:val="28"/>
        </w:rPr>
        <w:t xml:space="preserve">ской Думы от 26.06.2007 № </w:t>
      </w:r>
      <w:r>
        <w:rPr>
          <w:rFonts w:ascii="Times New Roman" w:hAnsi="Times New Roman" w:cs="Times New Roman"/>
          <w:sz w:val="28"/>
          <w:szCs w:val="28"/>
        </w:rPr>
        <w:t xml:space="preserve">143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Правил землепольз</w:t>
      </w:r>
      <w:r>
        <w:rPr>
          <w:rFonts w:ascii="Times New Roman" w:hAnsi="Times New Roman" w:cs="Times New Roman"/>
          <w:sz w:val="28"/>
          <w:szCs w:val="28"/>
        </w:rPr>
        <w:t xml:space="preserve">ования и </w:t>
      </w:r>
      <w:r>
        <w:rPr>
          <w:rFonts w:ascii="Times New Roman" w:hAnsi="Times New Roman" w:cs="Times New Roman"/>
          <w:sz w:val="28"/>
          <w:szCs w:val="28"/>
        </w:rPr>
        <w:t xml:space="preserve">застройки города</w:t>
      </w:r>
      <w:r>
        <w:rPr>
          <w:rFonts w:ascii="Times New Roman" w:hAnsi="Times New Roman" w:cs="Times New Roman"/>
          <w:sz w:val="28"/>
          <w:szCs w:val="28"/>
        </w:rPr>
        <w:t xml:space="preserve"> Перми»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numPr>
          <w:ilvl w:val="0"/>
          <w:numId w:val="19"/>
        </w:numPr>
        <w:contextualSpacing w:val="0"/>
        <w:ind w:left="426" w:hanging="426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Пермской городской Думы от 18.12.2012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284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установления публичных сервитутов в городе Перми и внесении изменений в Положение о департаменте градостроительства и архитектуры администрации города Перми, утвержденное решением Пермской городской Думы от 27.09.2011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193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numPr>
          <w:ilvl w:val="0"/>
          <w:numId w:val="19"/>
        </w:numPr>
        <w:contextualSpacing w:val="0"/>
        <w:ind w:left="426" w:hanging="426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Пермской</w:t>
      </w:r>
      <w:r>
        <w:rPr>
          <w:rFonts w:ascii="Times New Roman" w:hAnsi="Times New Roman" w:cs="Times New Roman"/>
          <w:sz w:val="28"/>
          <w:szCs w:val="28"/>
        </w:rPr>
        <w:t xml:space="preserve"> городской Думы от 24.02.2015 № 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9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 департаменте земельных отношений администрации го</w:t>
      </w:r>
      <w:r>
        <w:rPr>
          <w:rFonts w:ascii="Times New Roman" w:hAnsi="Times New Roman" w:cs="Times New Roman"/>
          <w:sz w:val="28"/>
          <w:szCs w:val="28"/>
        </w:rPr>
        <w:t xml:space="preserve">рода Перми»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numPr>
          <w:ilvl w:val="0"/>
          <w:numId w:val="19"/>
        </w:numPr>
        <w:contextualSpacing w:val="0"/>
        <w:ind w:left="426" w:hanging="426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Пермской гор</w:t>
      </w:r>
      <w:r>
        <w:rPr>
          <w:rFonts w:ascii="Times New Roman" w:hAnsi="Times New Roman" w:cs="Times New Roman"/>
          <w:sz w:val="28"/>
          <w:szCs w:val="28"/>
        </w:rPr>
        <w:t xml:space="preserve">одской Думы от 24.03.2015 № 68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плате за земельные участки, находящиеся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numPr>
          <w:ilvl w:val="0"/>
          <w:numId w:val="19"/>
        </w:numPr>
        <w:contextualSpacing w:val="0"/>
        <w:ind w:left="426" w:hanging="426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Пермской город</w:t>
      </w:r>
      <w:r>
        <w:rPr>
          <w:rFonts w:ascii="Times New Roman" w:hAnsi="Times New Roman" w:cs="Times New Roman"/>
          <w:sz w:val="28"/>
          <w:szCs w:val="28"/>
        </w:rPr>
        <w:t xml:space="preserve">ской Думы от 25.08.2015 № 150 «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принятии Устава города Перми»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numPr>
          <w:ilvl w:val="0"/>
          <w:numId w:val="19"/>
        </w:numPr>
        <w:contextualSpacing w:val="0"/>
        <w:ind w:left="426" w:hanging="426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Пермской городской Думы от 15.12.2020 № 277 «Об утверждении Правил благоустройства территории города Перми»;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numPr>
          <w:ilvl w:val="0"/>
          <w:numId w:val="19"/>
        </w:numPr>
        <w:contextualSpacing w:val="0"/>
        <w:ind w:left="426" w:firstLine="0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Пермской городской Думы от 21.12.2021 № 299 «</w:t>
      </w:r>
      <w:r>
        <w:rPr>
          <w:rFonts w:ascii="Times New Roman" w:hAnsi="Times New Roman" w:cs="Times New Roman"/>
          <w:sz w:val="28"/>
          <w:szCs w:val="28"/>
        </w:rPr>
        <w:t xml:space="preserve">О муниципальном земельном контроле на территории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numPr>
          <w:ilvl w:val="0"/>
          <w:numId w:val="19"/>
        </w:numPr>
        <w:contextualSpacing w:val="0"/>
        <w:ind w:left="426" w:hanging="426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г. Перми от 17.02.2012 № 63 «Об утверждении Административного регламента предоставления департаментом земельных отношений администрации города Перми муниципальной услуги «Выдача копий архивных документов, подтверждающих право на владение землей»;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numPr>
          <w:ilvl w:val="0"/>
          <w:numId w:val="19"/>
        </w:numPr>
        <w:contextualSpacing w:val="0"/>
        <w:ind w:left="426" w:hanging="426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</w:t>
      </w:r>
      <w:r>
        <w:rPr>
          <w:rFonts w:ascii="Times New Roman" w:hAnsi="Times New Roman" w:cs="Times New Roman"/>
          <w:sz w:val="28"/>
          <w:szCs w:val="28"/>
        </w:rPr>
        <w:t xml:space="preserve">тановление Администрации г. Перми от 04.12.2012 № 89-П «Об утверждении Положения о комиссии по распределению земельных участков между многодетными семьями, поставленными на учет в городе Перми в целях предоставления земельных участков, и состава комиссии»;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26" w:hanging="426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Постановление Администрации г. Перми от 04.12.2012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№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88-П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 утверждении Порядка распределения земельных участков между </w:t>
      </w:r>
      <w:r>
        <w:rPr>
          <w:rFonts w:ascii="Times New Roman" w:hAnsi="Times New Roman" w:cs="Times New Roman"/>
          <w:sz w:val="28"/>
          <w:szCs w:val="28"/>
        </w:rPr>
        <w:t xml:space="preserve">многодетными семьями, поставленными на учет в целях предоставления земельных участков на территории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26" w:hanging="426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Поста</w:t>
      </w:r>
      <w:r>
        <w:rPr>
          <w:rFonts w:ascii="Times New Roman" w:hAnsi="Times New Roman" w:cs="Times New Roman"/>
          <w:sz w:val="28"/>
          <w:szCs w:val="28"/>
        </w:rPr>
        <w:t xml:space="preserve">новление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 г. Перми от 20.06.2012 №</w:t>
      </w:r>
      <w:r>
        <w:rPr>
          <w:rFonts w:ascii="Times New Roman" w:hAnsi="Times New Roman" w:cs="Times New Roman"/>
          <w:sz w:val="28"/>
          <w:szCs w:val="28"/>
        </w:rPr>
        <w:t xml:space="preserve"> 309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Порядка формирования перечня земельных участков, предназначенных для предоставления многодетным семьям в собственность бесплатно без торгов в </w:t>
      </w:r>
      <w:r>
        <w:rPr>
          <w:rFonts w:ascii="Times New Roman" w:hAnsi="Times New Roman" w:cs="Times New Roman"/>
          <w:sz w:val="28"/>
          <w:szCs w:val="28"/>
        </w:rPr>
        <w:t xml:space="preserve">городе Перми»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26" w:hanging="426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г. Перми от 23.05.2013 № 399 «Об утверждении Регламента взаимодействия между функциональными органами администрации города Перми при предоставлении в собственность многодетным семьям земельных </w:t>
      </w:r>
      <w:r>
        <w:rPr>
          <w:rFonts w:ascii="Times New Roman" w:hAnsi="Times New Roman" w:cs="Times New Roman"/>
          <w:sz w:val="28"/>
          <w:szCs w:val="28"/>
        </w:rPr>
        <w:t xml:space="preserve">участков, в отношении которых одним из членов многодетной семьи заключен договор аренды, и о внесении изменений в Порядок ведения учета многодетных семей в городе Перми в целях предоставления земельных участков, утвержденный Постановлением администрации го</w:t>
      </w:r>
      <w:r>
        <w:rPr>
          <w:rFonts w:ascii="Times New Roman" w:hAnsi="Times New Roman" w:cs="Times New Roman"/>
          <w:sz w:val="28"/>
          <w:szCs w:val="28"/>
        </w:rPr>
        <w:t xml:space="preserve">рода Перми</w:t>
      </w:r>
      <w:r>
        <w:rPr>
          <w:rFonts w:ascii="Times New Roman" w:hAnsi="Times New Roman" w:cs="Times New Roman"/>
          <w:sz w:val="28"/>
          <w:szCs w:val="28"/>
        </w:rPr>
        <w:t xml:space="preserve"> от 28.04.2012 № 198»;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26" w:hanging="426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г. Перми от 29.11.2013 № 1107 «Об утверждении Регламента взаимодействия де</w:t>
      </w:r>
      <w:r>
        <w:rPr>
          <w:rFonts w:ascii="Times New Roman" w:hAnsi="Times New Roman" w:cs="Times New Roman"/>
          <w:sz w:val="28"/>
          <w:szCs w:val="28"/>
        </w:rPr>
        <w:t xml:space="preserve">партамента имущественных отношений администрации города Перми и функциональных, территориальных органов администрации города Перми, муниципальных предприятий, муниципальных учреждений города Перми при ведении реестра муниципального имущества города Перми»;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26" w:hanging="426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г. Перми от 25.12.2014 № 1042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об учете автостоянок открытого типа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города Перми»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26" w:hanging="426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г. Перми от 29.05.2015 № 322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типовых форм договоров аренды, купли-продажи, безвозмездного пользования земельными участками, соглашений об </w:t>
      </w:r>
      <w:r>
        <w:rPr>
          <w:rFonts w:ascii="Times New Roman" w:hAnsi="Times New Roman" w:cs="Times New Roman"/>
          <w:sz w:val="28"/>
          <w:szCs w:val="28"/>
        </w:rPr>
        <w:t xml:space="preserve">установлении сервитута, о перераспределении земель и (или) земельных участков и о признании утратившими силу отдельных постановлений администрации го</w:t>
      </w:r>
      <w:r>
        <w:rPr>
          <w:rFonts w:ascii="Times New Roman" w:hAnsi="Times New Roman" w:cs="Times New Roman"/>
          <w:sz w:val="28"/>
          <w:szCs w:val="28"/>
        </w:rPr>
        <w:t xml:space="preserve">рода Перми»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26" w:hanging="426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</w:t>
      </w:r>
      <w:r>
        <w:rPr>
          <w:rFonts w:ascii="Times New Roman" w:hAnsi="Times New Roman" w:cs="Times New Roman"/>
          <w:sz w:val="28"/>
          <w:szCs w:val="28"/>
        </w:rPr>
        <w:t xml:space="preserve">страции г. Перми от 20.11.2015 №</w:t>
      </w:r>
      <w:r>
        <w:rPr>
          <w:rFonts w:ascii="Times New Roman" w:hAnsi="Times New Roman" w:cs="Times New Roman"/>
          <w:sz w:val="28"/>
          <w:szCs w:val="28"/>
        </w:rPr>
        <w:t xml:space="preserve"> 964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Регламента взаимодействия функциональных органов админ</w:t>
      </w:r>
      <w:r>
        <w:rPr>
          <w:rFonts w:ascii="Times New Roman" w:hAnsi="Times New Roman" w:cs="Times New Roman"/>
          <w:sz w:val="28"/>
          <w:szCs w:val="28"/>
        </w:rPr>
        <w:t xml:space="preserve">истрации города Перми при проведении аукционов по продаже земельных участков, находящихся в муниципальной собственности города Перми, и участков, государственная собственность на которые не разграничена, либо аукционов на право заключения договоров аренды </w:t>
      </w:r>
      <w:r>
        <w:rPr>
          <w:rFonts w:ascii="Times New Roman" w:hAnsi="Times New Roman" w:cs="Times New Roman"/>
          <w:sz w:val="28"/>
          <w:szCs w:val="28"/>
        </w:rPr>
        <w:t xml:space="preserve">земельных участков, находящихся </w:t>
      </w:r>
      <w:r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 города Перми, и участков, государственная собственн</w:t>
      </w:r>
      <w:r>
        <w:rPr>
          <w:rFonts w:ascii="Times New Roman" w:hAnsi="Times New Roman" w:cs="Times New Roman"/>
          <w:sz w:val="28"/>
          <w:szCs w:val="28"/>
        </w:rPr>
        <w:t xml:space="preserve">ость на которые не</w:t>
      </w:r>
      <w:r>
        <w:rPr>
          <w:rFonts w:ascii="Times New Roman" w:hAnsi="Times New Roman" w:cs="Times New Roman"/>
          <w:sz w:val="28"/>
          <w:szCs w:val="28"/>
        </w:rPr>
        <w:t xml:space="preserve"> разграничена»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26" w:hanging="426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</w:t>
      </w:r>
      <w:r>
        <w:rPr>
          <w:rFonts w:ascii="Times New Roman" w:hAnsi="Times New Roman" w:cs="Times New Roman"/>
          <w:sz w:val="28"/>
          <w:szCs w:val="28"/>
        </w:rPr>
        <w:t xml:space="preserve">страции г. Перми от 04.08.2016 №</w:t>
      </w:r>
      <w:r>
        <w:rPr>
          <w:rFonts w:ascii="Times New Roman" w:hAnsi="Times New Roman" w:cs="Times New Roman"/>
          <w:sz w:val="28"/>
          <w:szCs w:val="28"/>
        </w:rPr>
        <w:t xml:space="preserve"> 556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Регламента взаимодействия функциональных органов администрации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 при присвоении адреса земельному участку в случае утверждения схемы расположения земельного участка </w:t>
      </w:r>
      <w:r>
        <w:rPr>
          <w:rFonts w:ascii="Times New Roman" w:hAnsi="Times New Roman" w:cs="Times New Roman"/>
          <w:sz w:val="28"/>
          <w:szCs w:val="28"/>
        </w:rPr>
        <w:t xml:space="preserve">на кадастровом плане территории»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26" w:hanging="426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г. Перми от 24.03.2017 №</w:t>
      </w:r>
      <w:r>
        <w:rPr>
          <w:rFonts w:ascii="Times New Roman" w:hAnsi="Times New Roman" w:cs="Times New Roman"/>
          <w:sz w:val="28"/>
          <w:szCs w:val="28"/>
        </w:rPr>
        <w:t xml:space="preserve"> 217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формирования альтернативного перечня земельных участков, предназначенных для предоставления многодетным семьям в собственность бесплатно без торгов, Порядка распределения земельных уч</w:t>
      </w:r>
      <w:r>
        <w:rPr>
          <w:rFonts w:ascii="Times New Roman" w:hAnsi="Times New Roman" w:cs="Times New Roman"/>
          <w:sz w:val="28"/>
          <w:szCs w:val="28"/>
        </w:rPr>
        <w:t xml:space="preserve">астков, включенных в альтернативный перечень земельных участков, предназначенных для предоставления многодетным семьям в собственность без торгов, между многодетными семьями, поставленными на учет в городе Перми в целях предоставления земельных участков, и</w:t>
      </w:r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отдельные правовые </w:t>
      </w:r>
      <w:r>
        <w:rPr>
          <w:rFonts w:ascii="Times New Roman" w:hAnsi="Times New Roman" w:cs="Times New Roman"/>
          <w:sz w:val="28"/>
          <w:szCs w:val="28"/>
        </w:rPr>
        <w:t xml:space="preserve">акты администрации города Перми»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26" w:hanging="426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г. Перми от 02.08.2017 №</w:t>
      </w:r>
      <w:r>
        <w:rPr>
          <w:rFonts w:ascii="Times New Roman" w:hAnsi="Times New Roman" w:cs="Times New Roman"/>
          <w:sz w:val="28"/>
          <w:szCs w:val="28"/>
        </w:rPr>
        <w:t xml:space="preserve"> 592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альтернативного перечня земельных участков, предназначенных для предоставления многодетным семьям в собственность бесп</w:t>
      </w:r>
      <w:r>
        <w:rPr>
          <w:rFonts w:ascii="Times New Roman" w:hAnsi="Times New Roman" w:cs="Times New Roman"/>
          <w:sz w:val="28"/>
          <w:szCs w:val="28"/>
        </w:rPr>
        <w:t xml:space="preserve">латно без торгов в городе Перми»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26" w:hanging="426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</w:t>
      </w:r>
      <w:r>
        <w:rPr>
          <w:rFonts w:ascii="Times New Roman" w:hAnsi="Times New Roman" w:cs="Times New Roman"/>
          <w:sz w:val="28"/>
          <w:szCs w:val="28"/>
        </w:rPr>
        <w:t xml:space="preserve">страции г. Перми от 18.12.2017 №</w:t>
      </w:r>
      <w:r>
        <w:rPr>
          <w:rFonts w:ascii="Times New Roman" w:hAnsi="Times New Roman" w:cs="Times New Roman"/>
          <w:sz w:val="28"/>
          <w:szCs w:val="28"/>
        </w:rPr>
        <w:t xml:space="preserve"> 1141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департаментом земельных отношений администрации гор</w:t>
      </w:r>
      <w:r>
        <w:rPr>
          <w:rFonts w:ascii="Times New Roman" w:hAnsi="Times New Roman" w:cs="Times New Roman"/>
          <w:sz w:val="28"/>
          <w:szCs w:val="28"/>
        </w:rPr>
        <w:t xml:space="preserve">ода Перми муниципальной услуги «</w:t>
      </w:r>
      <w:r>
        <w:rPr>
          <w:rFonts w:ascii="Times New Roman" w:hAnsi="Times New Roman" w:cs="Times New Roman"/>
          <w:sz w:val="28"/>
          <w:szCs w:val="28"/>
        </w:rPr>
        <w:t xml:space="preserve">Утверждение схемы расположения земельного участка или земельных участков </w:t>
      </w:r>
      <w:r>
        <w:rPr>
          <w:rFonts w:ascii="Times New Roman" w:hAnsi="Times New Roman" w:cs="Times New Roman"/>
          <w:sz w:val="28"/>
          <w:szCs w:val="28"/>
        </w:rPr>
        <w:t xml:space="preserve">на кадастровом плане территории»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26" w:hanging="426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г. Перми от 18.12.2017 № 1147 «Об утверждении Административного регламента предоста</w:t>
      </w:r>
      <w:r>
        <w:rPr>
          <w:rFonts w:ascii="Times New Roman" w:hAnsi="Times New Roman" w:cs="Times New Roman"/>
          <w:sz w:val="28"/>
          <w:szCs w:val="28"/>
        </w:rPr>
        <w:t xml:space="preserve">вления департаментом земельных отношений администрации города Перми муниципальной услуги «Согласование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26" w:hanging="426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</w:t>
      </w:r>
      <w:r>
        <w:rPr>
          <w:rFonts w:ascii="Times New Roman" w:hAnsi="Times New Roman" w:cs="Times New Roman"/>
          <w:sz w:val="28"/>
          <w:szCs w:val="28"/>
        </w:rPr>
        <w:t xml:space="preserve">страции г. Перми от 22.02.2018 №</w:t>
      </w:r>
      <w:r>
        <w:rPr>
          <w:rFonts w:ascii="Times New Roman" w:hAnsi="Times New Roman" w:cs="Times New Roman"/>
          <w:sz w:val="28"/>
          <w:szCs w:val="28"/>
        </w:rPr>
        <w:t xml:space="preserve"> 103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Регламента взаимодействия департамента градостроительства и архитектуры администрации города Перми с функциональными и территориальными органами администрации города Перми по формированию земельных участков, предоставляемых на аукц</w:t>
      </w:r>
      <w:r>
        <w:rPr>
          <w:rFonts w:ascii="Times New Roman" w:hAnsi="Times New Roman" w:cs="Times New Roman"/>
          <w:sz w:val="28"/>
          <w:szCs w:val="28"/>
        </w:rPr>
        <w:t xml:space="preserve">ионе на территории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26" w:hanging="426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г. Перми от 11.05.2018 № 288 «Об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Правил определения начальной цены предмета аукциона</w:t>
      </w:r>
      <w:r>
        <w:rPr>
          <w:rFonts w:ascii="Times New Roman" w:hAnsi="Times New Roman" w:cs="Times New Roman"/>
          <w:sz w:val="28"/>
          <w:szCs w:val="28"/>
        </w:rPr>
        <w:t xml:space="preserve"> по продаже земельных участков или аукциона на право заключения договоров аренды земельных участков»;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26" w:hanging="426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г. Перми от 18.02.2019 № 110 «Об утверждении Регламента взаимодействия департамента земельных отношений администрации города Перми и управления жилищных отношений администрации города Перми при ре</w:t>
      </w:r>
      <w:r>
        <w:rPr>
          <w:rFonts w:ascii="Times New Roman" w:hAnsi="Times New Roman" w:cs="Times New Roman"/>
          <w:sz w:val="28"/>
          <w:szCs w:val="28"/>
        </w:rPr>
        <w:t xml:space="preserve">ализации инвалидом или семьей, имеющей в своем составе ребенка-инвалида, права на первоочередное приобретение земельного участка, находящегося в муниципальной собственности города Перми, и участка, государственная собственность на который не разграничена».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26" w:hanging="426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г. Перми от 19.11</w:t>
      </w:r>
      <w:r>
        <w:rPr>
          <w:rFonts w:ascii="Times New Roman" w:hAnsi="Times New Roman" w:cs="Times New Roman"/>
          <w:sz w:val="28"/>
          <w:szCs w:val="28"/>
        </w:rPr>
        <w:t xml:space="preserve">.2019 № 914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рассрочки платежа по договорам купли-продажи земельных участков, находящихся в муниципальной собственности, собственникам зданий, сооружений, расположен</w:t>
      </w:r>
      <w:r>
        <w:rPr>
          <w:rFonts w:ascii="Times New Roman" w:hAnsi="Times New Roman" w:cs="Times New Roman"/>
          <w:sz w:val="28"/>
          <w:szCs w:val="28"/>
        </w:rPr>
        <w:t xml:space="preserve">ных на таких земельных участках»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26" w:hanging="426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г. Перми от 16.10.2020 № 1012 «Об утверждении перечня формируемых земельных участков»;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26" w:hanging="426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г. Перми от 12.11.2020 № 1153 «Об обеспечении подачи заявлений о государственном кадастровом учете и (или) государственной регистрации прав на недвижимое имущество в электронном виде»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26" w:hanging="426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г. Перми от 30.08.2021 № 633 «О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города Перми»;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26" w:hanging="426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</w:t>
      </w:r>
      <w:r>
        <w:rPr>
          <w:rFonts w:ascii="Times New Roman" w:hAnsi="Times New Roman" w:cs="Times New Roman"/>
          <w:sz w:val="28"/>
          <w:szCs w:val="28"/>
        </w:rPr>
        <w:t xml:space="preserve">трации г. Перми от 30.11.2021 № 1081 «Об утверждении Административного регламента предоставления департаментом земельных отношений администрации города Перми муниципальной услуги «Предварительное согласование предоставления земельного участка» и признании </w:t>
      </w:r>
      <w:r>
        <w:rPr>
          <w:rFonts w:ascii="Times New Roman" w:hAnsi="Times New Roman" w:cs="Times New Roman"/>
          <w:sz w:val="28"/>
          <w:szCs w:val="28"/>
        </w:rPr>
        <w:t xml:space="preserve">утратившими</w:t>
      </w:r>
      <w:r>
        <w:rPr>
          <w:rFonts w:ascii="Times New Roman" w:hAnsi="Times New Roman" w:cs="Times New Roman"/>
          <w:sz w:val="28"/>
          <w:szCs w:val="28"/>
        </w:rPr>
        <w:t xml:space="preserve"> силу некоторых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постановлений администрации города Перми в сфере земельных отношений»;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26" w:hanging="426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г. Перми от 30.11.2021 № 1079 «Об утверждении Административного регламента предоставления департаментом земельных отношений администрации города Перми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Перераспределение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и признании </w:t>
      </w:r>
      <w:r>
        <w:rPr>
          <w:rFonts w:ascii="Times New Roman" w:hAnsi="Times New Roman" w:cs="Times New Roman"/>
          <w:sz w:val="28"/>
          <w:szCs w:val="28"/>
        </w:rPr>
        <w:t xml:space="preserve">утратившими</w:t>
      </w:r>
      <w:r>
        <w:rPr>
          <w:rFonts w:ascii="Times New Roman" w:hAnsi="Times New Roman" w:cs="Times New Roman"/>
          <w:sz w:val="28"/>
          <w:szCs w:val="28"/>
        </w:rPr>
        <w:t xml:space="preserve"> силу некоторых постановлений администрации города Перми в сфере земельных отношений»;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26" w:hanging="426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г. Перми от 30.11.2021 № 1078 «Об утверждении Административного регл</w:t>
      </w:r>
      <w:r>
        <w:rPr>
          <w:rFonts w:ascii="Times New Roman" w:hAnsi="Times New Roman" w:cs="Times New Roman"/>
          <w:sz w:val="28"/>
          <w:szCs w:val="28"/>
        </w:rPr>
        <w:t xml:space="preserve">амента предоставления департаментом земельных отношений администрации города Перми муниципальной услуги «Предоставление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26" w:hanging="426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г. Перми от 30.11.2021 № 1076 «Об утверждении Административного регламента предоставления департаментом земельных отношений администрации города Перми муниципальной услуги «Предоставлен</w:t>
      </w:r>
      <w:r>
        <w:rPr>
          <w:rFonts w:ascii="Times New Roman" w:hAnsi="Times New Roman" w:cs="Times New Roman"/>
          <w:sz w:val="28"/>
          <w:szCs w:val="28"/>
        </w:rPr>
        <w:t xml:space="preserve">ие земельного участка, находящегося в государственной или муниципальной собственности, гражданину или юридическому лицу в собственность бесплатно» и признании утратившими силу некоторых постановлений администрации города Перми в сфере земельных отношений»;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26" w:hanging="426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г. Перми от 30.11.2021 № 1075 «Об утверждении Административного регламента предоставления департаментом земельных отношений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города Перми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26" w:hanging="426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г. Перми от 01.12.2021 № 1092 «Об утверждении Административного регламента предоставления департаментом земельных отношений администрации города Перми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и признании утратившими силу некоторых постановлений администрации города Перми в сфере земельных отношений»;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26" w:hanging="426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г. Пер</w:t>
      </w:r>
      <w:r>
        <w:rPr>
          <w:rFonts w:ascii="Times New Roman" w:hAnsi="Times New Roman" w:cs="Times New Roman"/>
          <w:sz w:val="28"/>
          <w:szCs w:val="28"/>
        </w:rPr>
        <w:t xml:space="preserve">ми от 01.12.2021 № 1093 «Об утверждении Административного регламента предоставления департаментом земельных отношений администрации города Перми муниципальной услуги «Выдача разрешения на использование земельных участков и размещение объектов» и признании </w:t>
      </w:r>
      <w:r>
        <w:rPr>
          <w:rFonts w:ascii="Times New Roman" w:hAnsi="Times New Roman" w:cs="Times New Roman"/>
          <w:sz w:val="28"/>
          <w:szCs w:val="28"/>
        </w:rPr>
        <w:t xml:space="preserve">утратившими</w:t>
      </w:r>
      <w:r>
        <w:rPr>
          <w:rFonts w:ascii="Times New Roman" w:hAnsi="Times New Roman" w:cs="Times New Roman"/>
          <w:sz w:val="28"/>
          <w:szCs w:val="28"/>
        </w:rPr>
        <w:t xml:space="preserve"> силу некоторых постановлений администрации города Перми в сфере земельных отношений»;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26" w:hanging="426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г. Перми от 14.01.2022 № 17 «Об утверждении типовых форм документов, используемых при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осуществлении муниципального земельного контроля на территории города Перми»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26" w:hanging="426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г. Перми от 02.06.2022 № 439 «Об утверждении Регламента взаимодействия департамента земел</w:t>
      </w:r>
      <w:r>
        <w:rPr>
          <w:rFonts w:ascii="Times New Roman" w:hAnsi="Times New Roman" w:cs="Times New Roman"/>
          <w:sz w:val="28"/>
          <w:szCs w:val="28"/>
        </w:rPr>
        <w:t xml:space="preserve">ьных отношений администрации города Перми с территориальными органами администрации города Перми при осуществлении муниципального земельного контроля на территории города Перми, о внесении изменений в постановление администрации города Перми от 14.01.2022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17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типовых форм документов, используемых при осуществлении муниципального земельного контроля на территории города Перми" и</w:t>
      </w:r>
      <w:r>
        <w:rPr>
          <w:rFonts w:ascii="Times New Roman" w:hAnsi="Times New Roman" w:cs="Times New Roman"/>
          <w:sz w:val="28"/>
          <w:szCs w:val="28"/>
        </w:rPr>
        <w:t xml:space="preserve"> признании </w:t>
      </w:r>
      <w:r>
        <w:rPr>
          <w:rFonts w:ascii="Times New Roman" w:hAnsi="Times New Roman" w:cs="Times New Roman"/>
          <w:sz w:val="28"/>
          <w:szCs w:val="28"/>
        </w:rPr>
        <w:t xml:space="preserve">утратившими</w:t>
      </w:r>
      <w:r>
        <w:rPr>
          <w:rFonts w:ascii="Times New Roman" w:hAnsi="Times New Roman" w:cs="Times New Roman"/>
          <w:sz w:val="28"/>
          <w:szCs w:val="28"/>
        </w:rPr>
        <w:t xml:space="preserve"> силу некоторых постановлений администрации города Перми в сфере муниципального земельного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26" w:hanging="426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г. Пер</w:t>
      </w:r>
      <w:r>
        <w:rPr>
          <w:rFonts w:ascii="Times New Roman" w:hAnsi="Times New Roman" w:cs="Times New Roman"/>
          <w:sz w:val="28"/>
          <w:szCs w:val="28"/>
        </w:rPr>
        <w:t xml:space="preserve">ми от 07.12.2022 № 1251 «Об утверждении Порядка заключения договоров для целей возведения гражданами гаражей, являющихся некапитальными сооружениями, либо размещения стоянки технических или других средств передвижения инвалидов вблизи их места жительства»;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26" w:hanging="426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г. Перми от 26.12.2022 № 1371 «Об утверждении Положения о порядке реализации прав инвалидов </w:t>
      </w:r>
      <w:r>
        <w:rPr>
          <w:rFonts w:ascii="Times New Roman" w:hAnsi="Times New Roman" w:cs="Times New Roman"/>
          <w:sz w:val="28"/>
          <w:szCs w:val="28"/>
        </w:rPr>
        <w:t xml:space="preserve">и семей, имеющих в своем составе инвалидов, состоящих на учете в качестве нуждающихся в улучшении жилищных условий, на первоочередное получение земельных участков для индивидуального жилищного строительства, ведения садоводства на территории города Перми»;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26" w:hanging="426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41.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г. Перми от 31.01.2023 № 62 «О предоставлении отсрочки уплаты арендной платы по договорам аренды имущества, </w:t>
      </w:r>
      <w:r>
        <w:rPr>
          <w:rFonts w:ascii="Times New Roman" w:hAnsi="Times New Roman" w:cs="Times New Roman"/>
          <w:sz w:val="28"/>
          <w:szCs w:val="28"/>
        </w:rPr>
        <w:t xml:space="preserve">находящегося в муниципальной собственности,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расторжении договоров аренды без применения штрафных санкций»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26" w:hanging="426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г. Перми от </w:t>
      </w:r>
      <w:r>
        <w:rPr>
          <w:rFonts w:ascii="Times New Roman" w:hAnsi="Times New Roman" w:cs="Times New Roman"/>
          <w:sz w:val="28"/>
          <w:szCs w:val="28"/>
        </w:rPr>
        <w:t xml:space="preserve">28</w:t>
      </w:r>
      <w:r>
        <w:rPr>
          <w:rFonts w:ascii="Times New Roman" w:hAnsi="Times New Roman" w:cs="Times New Roman"/>
          <w:sz w:val="28"/>
          <w:szCs w:val="28"/>
        </w:rPr>
        <w:t xml:space="preserve">.0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.202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148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 xml:space="preserve">едоставления 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участков военнослужащим,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лицам, заключившим контракт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пребывании в добровольческом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формировании, содействующем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выполнению задач, возложенных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Вооруженные Силы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Федерации, лицам, проходящим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службу в войсках национальной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гвардии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членам их семей в 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бесплатно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26" w:hanging="426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г. Перми от </w:t>
      </w:r>
      <w:r>
        <w:rPr>
          <w:rFonts w:ascii="Times New Roman" w:hAnsi="Times New Roman" w:cs="Times New Roman"/>
          <w:sz w:val="28"/>
          <w:szCs w:val="28"/>
        </w:rPr>
        <w:t xml:space="preserve">30</w:t>
      </w:r>
      <w:r>
        <w:rPr>
          <w:rFonts w:ascii="Times New Roman" w:hAnsi="Times New Roman" w:cs="Times New Roman"/>
          <w:sz w:val="28"/>
          <w:szCs w:val="28"/>
        </w:rPr>
        <w:t xml:space="preserve">.0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.2024 №</w:t>
      </w:r>
      <w:r>
        <w:rPr>
          <w:rFonts w:ascii="Times New Roman" w:hAnsi="Times New Roman" w:cs="Times New Roman"/>
          <w:sz w:val="28"/>
          <w:szCs w:val="28"/>
        </w:rPr>
        <w:t xml:space="preserve"> 424 «</w:t>
      </w:r>
      <w:r>
        <w:rPr>
          <w:rFonts w:ascii="Times New Roman" w:hAnsi="Times New Roman" w:cs="Times New Roman"/>
          <w:sz w:val="28"/>
          <w:szCs w:val="28"/>
        </w:rPr>
        <w:t xml:space="preserve">О создании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распределению земельных участков между инвалидами и семьями, имеющими в своем составе инвалидов, на территории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26" w:hanging="426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5"/>
    </w:pPr>
    <w:r/>
    <w:r/>
  </w:p>
  <w:p>
    <w:pPr>
      <w:pStyle w:val="71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0" w:hanging="360"/>
      </w:pPr>
      <w:rPr>
        <w:rFonts w:hint="default" w:ascii="Times New Roman" w:hAnsi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5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4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6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25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997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1069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1141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1213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1285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1357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4291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ascii="Times New Roman" w:hAnsi="Times New Roman" w:cs="Times New Roman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925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997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1069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1141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1213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1285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1357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4291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25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997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1069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1141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1213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1285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1357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4291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15"/>
  </w:num>
  <w:num w:numId="9">
    <w:abstractNumId w:val="12"/>
  </w:num>
  <w:num w:numId="10">
    <w:abstractNumId w:val="4"/>
  </w:num>
  <w:num w:numId="11">
    <w:abstractNumId w:val="9"/>
  </w:num>
  <w:num w:numId="12">
    <w:abstractNumId w:val="8"/>
  </w:num>
  <w:num w:numId="13">
    <w:abstractNumId w:val="16"/>
  </w:num>
  <w:num w:numId="14">
    <w:abstractNumId w:val="13"/>
  </w:num>
  <w:num w:numId="15">
    <w:abstractNumId w:val="6"/>
  </w:num>
  <w:num w:numId="16">
    <w:abstractNumId w:val="17"/>
  </w:num>
  <w:num w:numId="17">
    <w:abstractNumId w:val="10"/>
  </w:num>
  <w:num w:numId="18">
    <w:abstractNumId w:val="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05"/>
    <w:next w:val="70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0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05"/>
    <w:next w:val="70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0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05"/>
    <w:next w:val="70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0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05"/>
    <w:next w:val="70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0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05"/>
    <w:next w:val="70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0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5"/>
    <w:next w:val="70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0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5"/>
    <w:next w:val="70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5"/>
    <w:next w:val="70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5"/>
    <w:next w:val="70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05"/>
    <w:next w:val="70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06"/>
    <w:link w:val="34"/>
    <w:uiPriority w:val="10"/>
    <w:rPr>
      <w:sz w:val="48"/>
      <w:szCs w:val="48"/>
    </w:rPr>
  </w:style>
  <w:style w:type="paragraph" w:styleId="36">
    <w:name w:val="Subtitle"/>
    <w:basedOn w:val="705"/>
    <w:next w:val="70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06"/>
    <w:link w:val="36"/>
    <w:uiPriority w:val="11"/>
    <w:rPr>
      <w:sz w:val="24"/>
      <w:szCs w:val="24"/>
    </w:rPr>
  </w:style>
  <w:style w:type="paragraph" w:styleId="38">
    <w:name w:val="Quote"/>
    <w:basedOn w:val="705"/>
    <w:next w:val="70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5"/>
    <w:next w:val="70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06"/>
    <w:link w:val="713"/>
    <w:uiPriority w:val="99"/>
  </w:style>
  <w:style w:type="character" w:styleId="45">
    <w:name w:val="Footer Char"/>
    <w:basedOn w:val="706"/>
    <w:link w:val="715"/>
    <w:uiPriority w:val="99"/>
  </w:style>
  <w:style w:type="paragraph" w:styleId="46">
    <w:name w:val="Caption"/>
    <w:basedOn w:val="705"/>
    <w:next w:val="7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15"/>
    <w:uiPriority w:val="99"/>
  </w:style>
  <w:style w:type="table" w:styleId="48">
    <w:name w:val="Table Grid"/>
    <w:basedOn w:val="70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0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06"/>
    <w:uiPriority w:val="99"/>
    <w:unhideWhenUsed/>
    <w:rPr>
      <w:vertAlign w:val="superscript"/>
    </w:rPr>
  </w:style>
  <w:style w:type="paragraph" w:styleId="178">
    <w:name w:val="endnote text"/>
    <w:basedOn w:val="70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6"/>
    <w:uiPriority w:val="99"/>
    <w:semiHidden/>
    <w:unhideWhenUsed/>
    <w:rPr>
      <w:vertAlign w:val="superscript"/>
    </w:rPr>
  </w:style>
  <w:style w:type="paragraph" w:styleId="181">
    <w:name w:val="toc 1"/>
    <w:basedOn w:val="705"/>
    <w:next w:val="70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5"/>
    <w:next w:val="70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5"/>
    <w:next w:val="70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5"/>
    <w:next w:val="70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5"/>
    <w:next w:val="70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5"/>
    <w:next w:val="70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5"/>
    <w:next w:val="70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5"/>
    <w:next w:val="70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5"/>
    <w:next w:val="70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5"/>
    <w:next w:val="705"/>
    <w:uiPriority w:val="99"/>
    <w:unhideWhenUsed/>
    <w:pPr>
      <w:spacing w:after="0" w:afterAutospacing="0"/>
    </w:pPr>
  </w:style>
  <w:style w:type="paragraph" w:styleId="705" w:default="1">
    <w:name w:val="Normal"/>
    <w:qFormat/>
  </w:style>
  <w:style w:type="character" w:styleId="706" w:default="1">
    <w:name w:val="Default Paragraph Font"/>
    <w:uiPriority w:val="1"/>
    <w:semiHidden/>
    <w:unhideWhenUsed/>
  </w:style>
  <w:style w:type="table" w:styleId="70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8" w:default="1">
    <w:name w:val="No List"/>
    <w:uiPriority w:val="99"/>
    <w:semiHidden/>
    <w:unhideWhenUsed/>
  </w:style>
  <w:style w:type="paragraph" w:styleId="709">
    <w:name w:val="List Paragraph"/>
    <w:basedOn w:val="705"/>
    <w:uiPriority w:val="34"/>
    <w:qFormat/>
    <w:pPr>
      <w:contextualSpacing/>
      <w:ind w:left="720"/>
    </w:pPr>
  </w:style>
  <w:style w:type="character" w:styleId="710">
    <w:name w:val="Hyperlink"/>
    <w:basedOn w:val="706"/>
    <w:uiPriority w:val="99"/>
    <w:unhideWhenUsed/>
    <w:rPr>
      <w:color w:val="0000ff"/>
      <w:u w:val="single"/>
    </w:rPr>
  </w:style>
  <w:style w:type="paragraph" w:styleId="711">
    <w:name w:val="Balloon Text"/>
    <w:basedOn w:val="705"/>
    <w:link w:val="71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12" w:customStyle="1">
    <w:name w:val="Текст выноски Знак"/>
    <w:basedOn w:val="706"/>
    <w:link w:val="711"/>
    <w:uiPriority w:val="99"/>
    <w:semiHidden/>
    <w:rPr>
      <w:rFonts w:ascii="Tahoma" w:hAnsi="Tahoma" w:cs="Tahoma"/>
      <w:sz w:val="16"/>
      <w:szCs w:val="16"/>
    </w:rPr>
  </w:style>
  <w:style w:type="paragraph" w:styleId="713">
    <w:name w:val="Header"/>
    <w:basedOn w:val="705"/>
    <w:link w:val="71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14" w:customStyle="1">
    <w:name w:val="Верхний колонтитул Знак"/>
    <w:basedOn w:val="706"/>
    <w:link w:val="713"/>
    <w:uiPriority w:val="99"/>
  </w:style>
  <w:style w:type="paragraph" w:styleId="715">
    <w:name w:val="Footer"/>
    <w:basedOn w:val="705"/>
    <w:link w:val="71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16" w:customStyle="1">
    <w:name w:val="Нижний колонтитул Знак"/>
    <w:basedOn w:val="706"/>
    <w:link w:val="715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hyperlink" Target="consultantplus://offline/ref=8B451CAA6ADD81F3F6685E97600C16B411B1901DFA0474A10805FD1F07BBB7DF56EFFF16BEDCD2C6B52B18165DE8C1E12599D706FCD24FC7N7gAI" TargetMode="External"/><Relationship Id="rId12" Type="http://schemas.openxmlformats.org/officeDocument/2006/relationships/hyperlink" Target="consultantplus://offline/ref=8B451CAA6ADD81F3F6685E97600C16B411B4901CF60B74A10805FD1F07BBB7DF44EFA71ABEDFCCC6B13E4E471BNBgC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46D3D-55A7-49BF-AE8B-82D55ECE0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Костарева Мария Андреевна</dc:creator>
  <cp:revision>13</cp:revision>
  <dcterms:created xsi:type="dcterms:W3CDTF">2023-03-17T09:56:00Z</dcterms:created>
  <dcterms:modified xsi:type="dcterms:W3CDTF">2025-03-05T10:02:17Z</dcterms:modified>
</cp:coreProperties>
</file>