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firstLine="539"/>
        <w:jc w:val="center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</w:t>
      </w:r>
      <w:r>
        <w:rPr>
          <w:rFonts w:ascii="Times New Roman" w:hAnsi="Times New Roman" w:cs="Times New Roman"/>
          <w:b/>
          <w:sz w:val="28"/>
          <w:szCs w:val="28"/>
        </w:rPr>
        <w:t xml:space="preserve">еречень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/>
        <w:ind w:firstLine="539"/>
        <w:jc w:val="center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индикаторов риска нар</w:t>
      </w:r>
      <w:r>
        <w:rPr>
          <w:rFonts w:ascii="Times New Roman" w:hAnsi="Times New Roman" w:cs="Times New Roman"/>
          <w:b/>
          <w:sz w:val="28"/>
          <w:szCs w:val="28"/>
        </w:rPr>
        <w:t xml:space="preserve">ушения обязательных требований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</w:t>
      </w:r>
      <w:r>
        <w:rPr>
          <w:rFonts w:ascii="Times New Roman" w:hAnsi="Times New Roman" w:cs="Times New Roman"/>
          <w:sz w:val="28"/>
          <w:szCs w:val="28"/>
        </w:rPr>
        <w:t xml:space="preserve"> целях оценки риска причинения вреда (ущерба) при принятии решения </w:t>
        <w:br/>
        <w:t xml:space="preserve">о проведении и выборе вида внепланового контрольного мероприятия применяются следующие индикаторы риска: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сокращение в течение трех предшествующих календарных лет более чем </w:t>
        <w:br/>
        <w:t xml:space="preserve">на 20 процентов количества зеленых насаждений на земельном (лесном) участке, расположенном в границах особо охраняемой природной территории местного значения города Перми (далее - ООПТ) или </w:t>
      </w:r>
      <w:r>
        <w:rPr>
          <w:rFonts w:ascii="Times New Roman" w:hAnsi="Times New Roman" w:cs="Times New Roman"/>
          <w:sz w:val="28"/>
          <w:szCs w:val="28"/>
        </w:rPr>
        <w:t xml:space="preserve">в границах охранной зоны ООПТ.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center"/>
        <w:spacing w:before="220"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</w:t>
      </w:r>
      <w:r>
        <w:rPr>
          <w:rFonts w:ascii="Times New Roman" w:hAnsi="Times New Roman" w:cs="Times New Roman"/>
          <w:b/>
          <w:sz w:val="28"/>
          <w:szCs w:val="28"/>
        </w:rPr>
        <w:t xml:space="preserve">орядок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/>
        <w:ind w:firstLine="539"/>
        <w:jc w:val="center"/>
        <w:spacing w:before="220"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отнесения объек</w:t>
      </w:r>
      <w:r>
        <w:rPr>
          <w:rFonts w:ascii="Times New Roman" w:hAnsi="Times New Roman" w:cs="Times New Roman"/>
          <w:b/>
          <w:sz w:val="28"/>
          <w:szCs w:val="28"/>
        </w:rPr>
        <w:t xml:space="preserve">тов контроля к категориям риска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/>
        <w:ind w:firstLine="539"/>
        <w:jc w:val="center"/>
        <w:spacing w:before="220"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/>
        <w:ind w:firstLine="539"/>
        <w:jc w:val="center"/>
        <w:spacing w:before="220"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</w:t>
      </w:r>
      <w:r>
        <w:rPr>
          <w:rFonts w:ascii="Times New Roman" w:hAnsi="Times New Roman" w:cs="Times New Roman"/>
          <w:sz w:val="28"/>
          <w:szCs w:val="28"/>
        </w:rPr>
        <w:t xml:space="preserve">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Положени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</w:t>
      </w:r>
      <w:r>
        <w:rPr>
          <w:rFonts w:ascii="Times New Roman" w:hAnsi="Times New Roman" w:cs="Times New Roman"/>
          <w:sz w:val="28"/>
          <w:szCs w:val="28"/>
        </w:rPr>
        <w:t xml:space="preserve">ый</w:t>
      </w:r>
      <w:r>
        <w:rPr>
          <w:rFonts w:ascii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hAnsi="Times New Roman" w:cs="Times New Roman"/>
          <w:sz w:val="28"/>
          <w:szCs w:val="28"/>
        </w:rPr>
        <w:t xml:space="preserve">ь</w:t>
      </w:r>
      <w:r>
        <w:rPr>
          <w:rFonts w:ascii="Times New Roman" w:hAnsi="Times New Roman" w:cs="Times New Roman"/>
          <w:sz w:val="28"/>
          <w:szCs w:val="28"/>
        </w:rPr>
        <w:t xml:space="preserve"> в области охраны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использования особо охраняемых природных территорий местного значения города Перми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на основе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 xml:space="preserve">рисками причинения вреда (ущерба) охраняемым законом ценностям.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Отнесение объектов контроля к категориям риска осуществляется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пунктами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.2 –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.8</w:t>
      </w:r>
      <w:r>
        <w:rPr>
          <w:rFonts w:ascii="Times New Roman" w:hAnsi="Times New Roman" w:cs="Times New Roman"/>
          <w:sz w:val="28"/>
          <w:szCs w:val="28"/>
        </w:rPr>
        <w:t xml:space="preserve"> Положения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.2. Орган контроля при осуществлении Муниципального контроля относит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объекты Муниципального контроля к одной из следующих категорий риска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причинения вреда (ущерба) (далее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категория риска):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риск,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значительный риск,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риск,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умеренный риск,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низкий риск.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.3. </w:t>
      </w:r>
      <w:r>
        <w:rPr>
          <w:rFonts w:ascii="Times New Roman" w:hAnsi="Times New Roman" w:cs="Times New Roman"/>
          <w:sz w:val="28"/>
          <w:szCs w:val="28"/>
        </w:rPr>
        <w:t xml:space="preserve">Отнесение объекта Муниципального контроля к одной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из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предусмотренных </w:t>
      </w:r>
      <w:r>
        <w:rPr>
          <w:rFonts w:ascii="Times New Roman" w:hAnsi="Times New Roman" w:cs="Times New Roman"/>
          <w:sz w:val="28"/>
          <w:szCs w:val="28"/>
        </w:rPr>
        <w:t xml:space="preserve">пунктом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.2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>
        <w:rPr>
          <w:rFonts w:ascii="Times New Roman" w:hAnsi="Times New Roman" w:cs="Times New Roman"/>
          <w:sz w:val="28"/>
          <w:szCs w:val="28"/>
        </w:rPr>
        <w:t xml:space="preserve"> категорий </w:t>
      </w:r>
      <w:r>
        <w:rPr>
          <w:rFonts w:ascii="Times New Roman" w:hAnsi="Times New Roman" w:cs="Times New Roman"/>
          <w:sz w:val="28"/>
          <w:szCs w:val="28"/>
        </w:rPr>
        <w:t xml:space="preserve">риска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Органом</w:t>
      </w:r>
      <w:r>
        <w:rPr>
          <w:rFonts w:ascii="Times New Roman" w:hAnsi="Times New Roman" w:cs="Times New Roman"/>
          <w:sz w:val="28"/>
          <w:szCs w:val="28"/>
        </w:rPr>
        <w:t xml:space="preserve"> контроля </w:t>
      </w:r>
      <w:r>
        <w:rPr>
          <w:rFonts w:ascii="Times New Roman" w:hAnsi="Times New Roman" w:cs="Times New Roman"/>
          <w:sz w:val="28"/>
          <w:szCs w:val="28"/>
        </w:rPr>
        <w:t xml:space="preserve">путем сопоставления его характеристик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следующими критериями отнесения объектов Муниципального контроля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категориям риска: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категория значительного риска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 (результаты деятельности, производственные объекты)</w:t>
      </w:r>
      <w:r>
        <w:rPr>
          <w:rFonts w:ascii="Times New Roman" w:hAnsi="Times New Roman" w:cs="Times New Roman"/>
          <w:sz w:val="28"/>
          <w:szCs w:val="28"/>
        </w:rPr>
        <w:t xml:space="preserve"> контролируемых лиц, осуществляемая (расположенные) в границах ООПТ, относящихся к категории охраняемый ландшафт, а также к иным категориям ООПТ, на территории которых выделяются функциональные зоны с различными режимами охраны и использования территории,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категория среднего риска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 (результаты деятельности, производственные объекты) контролируемых лиц, осуществляемая (расположенные) в </w:t>
      </w:r>
      <w:r>
        <w:rPr>
          <w:rFonts w:ascii="Times New Roman" w:hAnsi="Times New Roman" w:cs="Times New Roman"/>
          <w:sz w:val="28"/>
          <w:szCs w:val="28"/>
        </w:rPr>
        <w:t xml:space="preserve">границах ООПТ, относящихся к категории историко-природные комплексы и территории или природные культурно-мемориальные парки, за исключением ООПТ, на территории которых выделяются функциональные зоны с различными режимами охраны и использования территории,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категория умеренного риска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 (результаты деятельности, производственные объекты) контролируемых лиц, осуществляемая (расположенные) в границах иных ООПТ, за исключением ООПТ, на территории которых выделяются функциональные зоны с различными режимами охраны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использования территории,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категория низкого риска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 (результаты деятельности, производственные объекты) контролируемых лиц, осуществляемая (расположенные) в границах охранных зон ООПТ.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.4. Объекты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контроля, отнесенны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 пунктом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.3 настоящего Положения к категориям значительного </w:t>
      </w:r>
      <w:r>
        <w:rPr>
          <w:rFonts w:ascii="Times New Roman" w:hAnsi="Times New Roman" w:cs="Times New Roman"/>
          <w:sz w:val="28"/>
          <w:szCs w:val="28"/>
        </w:rPr>
        <w:t xml:space="preserve">риска,</w:t>
      </w:r>
      <w:r>
        <w:rPr>
          <w:rFonts w:ascii="Times New Roman" w:hAnsi="Times New Roman" w:cs="Times New Roman"/>
          <w:sz w:val="28"/>
          <w:szCs w:val="28"/>
        </w:rPr>
        <w:t xml:space="preserve"> среднего риска, умеренного риска, низкого риска, </w:t>
      </w:r>
      <w:r>
        <w:rPr>
          <w:rFonts w:ascii="Times New Roman" w:hAnsi="Times New Roman" w:cs="Times New Roman"/>
          <w:sz w:val="28"/>
          <w:szCs w:val="28"/>
        </w:rPr>
        <w:t xml:space="preserve">подлежат отнесению к</w:t>
      </w:r>
      <w:r>
        <w:rPr>
          <w:rFonts w:ascii="Times New Roman" w:hAnsi="Times New Roman" w:cs="Times New Roman"/>
          <w:sz w:val="28"/>
          <w:szCs w:val="28"/>
        </w:rPr>
        <w:t xml:space="preserve"> категориям </w:t>
      </w:r>
      <w:r>
        <w:rPr>
          <w:rFonts w:ascii="Times New Roman" w:hAnsi="Times New Roman" w:cs="Times New Roman"/>
          <w:sz w:val="28"/>
          <w:szCs w:val="28"/>
        </w:rPr>
        <w:t xml:space="preserve">высокого риска, значительного риска, среднего риска, умеренного</w:t>
      </w:r>
      <w:r>
        <w:rPr>
          <w:rFonts w:ascii="Times New Roman" w:hAnsi="Times New Roman" w:cs="Times New Roman"/>
          <w:sz w:val="28"/>
          <w:szCs w:val="28"/>
        </w:rPr>
        <w:t xml:space="preserve"> риска </w:t>
      </w:r>
      <w:r>
        <w:rPr>
          <w:rFonts w:ascii="Times New Roman" w:hAnsi="Times New Roman" w:cs="Times New Roman"/>
          <w:sz w:val="28"/>
          <w:szCs w:val="28"/>
        </w:rPr>
        <w:t xml:space="preserve">соответственно при наличии одного из следующих решений, вступивших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законную силу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трех лет, предшествующих дате принятия решения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отнесении объекта Муниципального контроля к категории риска: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о назначении административного наказания, за исключением административного наказания в виде предупреждения, юридическому лицу, его должностным лицам, индивидуальному предпринимателю, гражданину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совершение на ООПТ либо в их охранных зонах административного правонарушения, вынесенного на основании протокола об административном правонарушении, составленного должностными лицами Органа контроля,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обвинительный приговор, предусматривающий признание должностного лица юридического лица, индивидуального предпринимателя или гражданина виновным в совершении преступления, предусмотренного статьями 250-251,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254-262 Уголовного кодекса Российской Федерации.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.5. </w:t>
      </w:r>
      <w:r>
        <w:rPr>
          <w:rFonts w:ascii="Times New Roman" w:hAnsi="Times New Roman" w:cs="Times New Roman"/>
          <w:sz w:val="28"/>
          <w:szCs w:val="28"/>
        </w:rPr>
        <w:t xml:space="preserve">Объекты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контроля, отнесенные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 пунктом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.4 настоящего Положения к категориям высокого </w:t>
      </w:r>
      <w:r>
        <w:rPr>
          <w:rFonts w:ascii="Times New Roman" w:hAnsi="Times New Roman" w:cs="Times New Roman"/>
          <w:sz w:val="28"/>
          <w:szCs w:val="28"/>
        </w:rPr>
        <w:t xml:space="preserve">риска,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значительного риска, среднего риска, умеренного риска, подлежат отнесению к</w:t>
      </w:r>
      <w:r>
        <w:rPr>
          <w:rFonts w:ascii="Times New Roman" w:hAnsi="Times New Roman" w:cs="Times New Roman"/>
          <w:sz w:val="28"/>
          <w:szCs w:val="28"/>
        </w:rPr>
        <w:t xml:space="preserve"> категориям значительного </w:t>
      </w:r>
      <w:r>
        <w:rPr>
          <w:rFonts w:ascii="Times New Roman" w:hAnsi="Times New Roman" w:cs="Times New Roman"/>
          <w:sz w:val="28"/>
          <w:szCs w:val="28"/>
        </w:rPr>
        <w:t xml:space="preserve">риска, среднего риска, умеренного риска, низкого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риска соответственно при отсутствии в течение трех лет, предшествующих дате</w:t>
      </w:r>
      <w:r>
        <w:rPr>
          <w:rFonts w:ascii="Times New Roman" w:hAnsi="Times New Roman" w:cs="Times New Roman"/>
          <w:sz w:val="28"/>
          <w:szCs w:val="28"/>
        </w:rPr>
        <w:t xml:space="preserve"> принятия решения</w:t>
      </w:r>
      <w:r>
        <w:rPr>
          <w:rFonts w:ascii="Times New Roman" w:hAnsi="Times New Roman" w:cs="Times New Roman"/>
          <w:sz w:val="28"/>
          <w:szCs w:val="28"/>
        </w:rPr>
        <w:t xml:space="preserve"> об отнесении объекта Муниципального контроля к категории</w:t>
      </w:r>
      <w:r>
        <w:rPr>
          <w:rFonts w:ascii="Times New Roman" w:hAnsi="Times New Roman" w:cs="Times New Roman"/>
          <w:sz w:val="28"/>
          <w:szCs w:val="28"/>
        </w:rPr>
        <w:t xml:space="preserve"> значительного риска, среднего риска, умеренного риска, </w:t>
      </w:r>
      <w:r>
        <w:rPr>
          <w:rFonts w:ascii="Times New Roman" w:hAnsi="Times New Roman" w:cs="Times New Roman"/>
          <w:sz w:val="28"/>
          <w:szCs w:val="28"/>
        </w:rPr>
        <w:t xml:space="preserve">низкого риска,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вступивших в законную силу решений, предусмотренных пунктом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.4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Положения, и одновременном соблюдении требований законодательства об ООПТ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области охраны окружающей среды.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.6. В </w:t>
      </w:r>
      <w:r>
        <w:rPr>
          <w:rFonts w:ascii="Times New Roman" w:hAnsi="Times New Roman" w:cs="Times New Roman"/>
          <w:sz w:val="28"/>
          <w:szCs w:val="28"/>
        </w:rPr>
        <w:t xml:space="preserve">случае если объект Муниципального контроля не отнесен Органом</w:t>
      </w:r>
      <w:r>
        <w:rPr>
          <w:rFonts w:ascii="Times New Roman" w:hAnsi="Times New Roman" w:cs="Times New Roman"/>
          <w:sz w:val="28"/>
          <w:szCs w:val="28"/>
        </w:rPr>
        <w:t xml:space="preserve"> контроля к</w:t>
      </w:r>
      <w:r>
        <w:rPr>
          <w:rFonts w:ascii="Times New Roman" w:hAnsi="Times New Roman" w:cs="Times New Roman"/>
          <w:sz w:val="28"/>
          <w:szCs w:val="28"/>
        </w:rPr>
        <w:t xml:space="preserve"> опреде</w:t>
      </w:r>
      <w:r>
        <w:rPr>
          <w:rFonts w:ascii="Times New Roman" w:hAnsi="Times New Roman" w:cs="Times New Roman"/>
          <w:sz w:val="28"/>
          <w:szCs w:val="28"/>
        </w:rPr>
        <w:t xml:space="preserve">ленной категории риска, он считается отнесенным </w:t>
      </w: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категории низкого риска.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.7. </w:t>
      </w:r>
      <w:r>
        <w:rPr>
          <w:rFonts w:ascii="Times New Roman" w:hAnsi="Times New Roman" w:cs="Times New Roman"/>
          <w:sz w:val="28"/>
          <w:szCs w:val="28"/>
        </w:rPr>
        <w:t xml:space="preserve">Орган контроля при сборе, обработке, анализе и учете сведений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об</w:t>
      </w:r>
      <w:r>
        <w:rPr>
          <w:rFonts w:ascii="Times New Roman" w:hAnsi="Times New Roman" w:cs="Times New Roman"/>
          <w:sz w:val="28"/>
          <w:szCs w:val="28"/>
        </w:rPr>
        <w:t xml:space="preserve"> объектах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контроля для целей их учета использует информацию,</w:t>
      </w:r>
      <w:r>
        <w:rPr>
          <w:rFonts w:ascii="Times New Roman" w:hAnsi="Times New Roman" w:cs="Times New Roman"/>
          <w:sz w:val="28"/>
          <w:szCs w:val="28"/>
        </w:rPr>
        <w:t xml:space="preserve"> представляемую ему в соответствии с нормативными правовыми</w:t>
      </w:r>
      <w:r>
        <w:rPr>
          <w:rFonts w:ascii="Times New Roman" w:hAnsi="Times New Roman" w:cs="Times New Roman"/>
          <w:sz w:val="28"/>
          <w:szCs w:val="28"/>
        </w:rPr>
        <w:t xml:space="preserve"> актами,</w:t>
      </w:r>
      <w:r>
        <w:rPr>
          <w:rFonts w:ascii="Times New Roman" w:hAnsi="Times New Roman" w:cs="Times New Roman"/>
          <w:sz w:val="28"/>
          <w:szCs w:val="28"/>
        </w:rPr>
        <w:t xml:space="preserve"> информацию, получаемую </w:t>
      </w:r>
      <w:r>
        <w:rPr>
          <w:rFonts w:ascii="Times New Roman" w:hAnsi="Times New Roman" w:cs="Times New Roman"/>
          <w:sz w:val="28"/>
          <w:szCs w:val="28"/>
        </w:rPr>
        <w:t xml:space="preserve">в рамках межведомственного взаимодействия,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общедоступную информацию.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.8. Орган контроля относит объекты Муниципального контроля к одной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категорий риска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порядке, определенном статьей 24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контроле. Решение об отнесении объектов Муниципального контроля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 категориям </w:t>
      </w:r>
      <w:r>
        <w:rPr>
          <w:rFonts w:ascii="Times New Roman" w:hAnsi="Times New Roman" w:cs="Times New Roman"/>
          <w:sz w:val="28"/>
          <w:szCs w:val="28"/>
        </w:rPr>
        <w:t xml:space="preserve">высокого, значительного, среднего и умеренного риска (изменении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категории риска) принимается путем подписания руководителем Органа контроля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соответствующих сведений в едином реестре видов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государственного контроля (надзора), регионального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контроля (надзора), муниципального контроля.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Контролируемое лицо, в том числе с использованием федеральной государственной информационной системы «Единый портал государственных </w:t>
        <w:br/>
        <w:t xml:space="preserve">и муниципальных услуг (функций)» (далее - единый портал государственных </w:t>
        <w:br/>
        <w:t xml:space="preserve">и муниципальных услуг), вправе подать в Орган контрол</w:t>
      </w:r>
      <w:r>
        <w:rPr>
          <w:rFonts w:ascii="Times New Roman" w:hAnsi="Times New Roman" w:cs="Times New Roman"/>
          <w:sz w:val="28"/>
          <w:szCs w:val="28"/>
        </w:rPr>
        <w:t xml:space="preserve">я заявление об изменении категории риска осуществляемой им деятельности либо категории риска принадлежащих ему (используемых им) иных объектов Муниципального контроля в случае их соответствия критериям риска для отнесения к иной категории риска.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39"/>
        <w:jc w:val="both"/>
        <w:spacing w:before="2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Муниципального контроля считается отнесенным к одной </w:t>
        <w:br/>
        <w:t xml:space="preserve">из категорий риска после внесения сведений в единый реестр видов федерального государственного контроля (надзора), регионального государственного контроля (надзора), муниципального контроля.</w:t>
      </w:r>
      <w:r>
        <w:rPr>
          <w:rFonts w:ascii="Times New Roman" w:hAnsi="Times New Roman" w:cs="Times New Roman"/>
          <w:sz w:val="28"/>
          <w:szCs w:val="28"/>
        </w:rPr>
        <w:t xml:space="preserve">».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5" w:h="16838" w:orient="portrait"/>
      <w:pgMar w:top="1134" w:right="567" w:bottom="1134" w:left="1418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nsolas">
    <w:panose1 w:val="020B060902020403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HTML Preformatted"/>
    <w:basedOn w:val="617"/>
    <w:link w:val="622"/>
    <w:uiPriority w:val="99"/>
    <w:semiHidden/>
    <w:unhideWhenUsed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styleId="622" w:customStyle="1">
    <w:name w:val="Стандартный HTML Знак"/>
    <w:basedOn w:val="618"/>
    <w:link w:val="621"/>
    <w:uiPriority w:val="99"/>
    <w:semiHidden/>
    <w:rPr>
      <w:rFonts w:ascii="Consolas" w:hAnsi="Consolas" w:cs="Consolas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Исаков Денис Сергеевич</dc:creator>
  <cp:lastModifiedBy>yuzeeva-ev</cp:lastModifiedBy>
  <cp:revision>4</cp:revision>
  <dcterms:created xsi:type="dcterms:W3CDTF">2025-11-25T11:03:00Z</dcterms:created>
  <dcterms:modified xsi:type="dcterms:W3CDTF">2026-09-14T11:11:19Z</dcterms:modified>
</cp:coreProperties>
</file>