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ТИПОВЫЕ ИНДИКАТОРЫ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РИСКА НАРУШЕНИЯ ОБЯЗАТЕЛЬНЫХ ТРЕБОВАНИЙ, ИСПОЛЬЗУЕМЫЕ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ПРИ ОСУЩЕСТВЛЕНИИ ГОСУДАРСТВЕННОГО ЖИЛИЩНОГО НАДЗОРА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И МУНИЦИПАЛЬНОГО ЖИЛИЩНОГО КОНТРОЛЯ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30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</w:t>
        <w:br/>
        <w:t xml:space="preserve">о взыскании задолженности по договору (договорам) эн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</w:t>
        <w:br/>
        <w:t xml:space="preserve">на оказание услуг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бращению с твердыми коммунальными отходами, общая сумма которой превышает триста тысяч рублей, образовавшейся</w:t>
        <w:br/>
        <w:t xml:space="preserve">в течение двенадцати месяцев до дня принятия решения о проведении</w:t>
        <w:br/>
        <w:t xml:space="preserve">и выборе вида внепланового контрольного (надзорного) мероприятия.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Наличие у органа, осуществляющего государственный жилищный надзор или муниципальный жилищный контроль, сведений о начислении платы</w:t>
        <w:br/>
        <w:t xml:space="preserve">за коммунальную услугу по отоплению исходя из норматива потребления, утвержденного уполномоченным органом государствен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ной власти субъекта Российской Федерации, более трех расчетных периодов подряд.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2025-12-08T04:39:01Z</dcterms:modified>
</cp:coreProperties>
</file>