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2"/>
        <w:ind w:right="141"/>
        <w:jc w:val="center"/>
        <w:tabs>
          <w:tab w:val="clear" w:pos="4153" w:leader="none"/>
          <w:tab w:val="clear" w:pos="8306" w:leader="none"/>
        </w:tabs>
        <w:rPr>
          <w:sz w:val="28"/>
          <w:szCs w:val="28"/>
          <w:lang w:val="en-US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05130" cy="509270"/>
                <wp:effectExtent l="1905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05130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1.90pt;height:40.10pt;mso-wrap-distance-left:0.00pt;mso-wrap-distance-top:0.00pt;mso-wrap-distance-right:0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sz w:val="28"/>
          <w:szCs w:val="28"/>
          <w:lang w:val="en-US"/>
        </w:rPr>
      </w:r>
    </w:p>
    <w:p>
      <w:pPr>
        <w:pStyle w:val="697"/>
        <w:ind w:right="141"/>
        <w:spacing w:before="4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АДМИНИСТРАЦИЯ ГОРОДА ПЕРМИ</w:t>
      </w:r>
      <w:r>
        <w:rPr>
          <w:b w:val="0"/>
          <w:sz w:val="28"/>
          <w:szCs w:val="28"/>
        </w:rPr>
      </w:r>
    </w:p>
    <w:p>
      <w:pPr>
        <w:pStyle w:val="697"/>
        <w:ind w:right="14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ДЕПАРТАМЕНТА</w:t>
      </w:r>
      <w:r>
        <w:rPr>
          <w:sz w:val="28"/>
          <w:szCs w:val="28"/>
        </w:rPr>
      </w:r>
    </w:p>
    <w:p>
      <w:pPr>
        <w:pStyle w:val="697"/>
        <w:ind w:right="14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</w:t>
      </w:r>
      <w:r>
        <w:rPr>
          <w:sz w:val="28"/>
          <w:szCs w:val="28"/>
        </w:rPr>
      </w:r>
    </w:p>
    <w:p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А С П О Р Я Ж Е Н И Е</w:t>
      </w:r>
      <w:r>
        <w:rPr>
          <w:sz w:val="28"/>
          <w:szCs w:val="28"/>
        </w:rPr>
      </w:r>
    </w:p>
    <w:p>
      <w:pPr>
        <w:ind w:right="-2025"/>
        <w:jc w:val="center"/>
        <w:spacing w:line="360" w:lineRule="exact"/>
        <w:widowControl w:val="off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4253"/>
        <w:spacing w:line="240" w:lineRule="exact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Об </w:t>
      </w:r>
      <w:r>
        <w:rPr>
          <w:b/>
          <w:sz w:val="28"/>
          <w:szCs w:val="26"/>
        </w:rPr>
        <w:t xml:space="preserve">утверждении П</w:t>
      </w:r>
      <w:r>
        <w:rPr>
          <w:b/>
          <w:sz w:val="28"/>
          <w:szCs w:val="26"/>
        </w:rPr>
        <w:t xml:space="preserve">рограммы</w:t>
      </w:r>
      <w:r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</w:r>
    </w:p>
    <w:p>
      <w:pPr>
        <w:ind w:right="4253"/>
        <w:spacing w:line="240" w:lineRule="exact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профилактики рисков причинения</w:t>
      </w:r>
      <w:r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</w:r>
    </w:p>
    <w:p>
      <w:pPr>
        <w:ind w:right="4253"/>
        <w:spacing w:line="240" w:lineRule="exact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вреда (ущерба) охраняемым законом </w:t>
      </w:r>
      <w:r>
        <w:rPr>
          <w:b/>
          <w:sz w:val="28"/>
          <w:szCs w:val="26"/>
        </w:rPr>
      </w:r>
    </w:p>
    <w:p>
      <w:pPr>
        <w:ind w:right="4253"/>
        <w:spacing w:line="240" w:lineRule="exact"/>
        <w:rPr>
          <w:rFonts w:eastAsia="Calibri"/>
          <w:b/>
          <w:sz w:val="28"/>
          <w:szCs w:val="28"/>
        </w:rPr>
      </w:pPr>
      <w:r>
        <w:rPr>
          <w:b/>
          <w:sz w:val="28"/>
          <w:szCs w:val="26"/>
        </w:rPr>
        <w:t xml:space="preserve">ценностям </w:t>
      </w:r>
      <w:bookmarkStart w:id="0" w:name="_Hlk95129119"/>
      <w:r>
        <w:rPr>
          <w:b/>
          <w:sz w:val="28"/>
          <w:szCs w:val="26"/>
        </w:rPr>
        <w:t xml:space="preserve">по</w:t>
      </w:r>
      <w:r>
        <w:rPr>
          <w:b/>
          <w:sz w:val="28"/>
          <w:szCs w:val="26"/>
        </w:rPr>
        <w:t xml:space="preserve"> </w:t>
      </w:r>
      <w:bookmarkEnd w:id="0"/>
      <w:r>
        <w:rPr>
          <w:rFonts w:eastAsia="Calibri"/>
          <w:b/>
          <w:sz w:val="28"/>
          <w:szCs w:val="28"/>
        </w:rPr>
        <w:t xml:space="preserve">муниципальному контролю </w:t>
      </w:r>
      <w:r>
        <w:rPr>
          <w:rFonts w:eastAsia="Calibri"/>
          <w:b/>
          <w:sz w:val="28"/>
          <w:szCs w:val="28"/>
        </w:rPr>
      </w:r>
    </w:p>
    <w:p>
      <w:pPr>
        <w:ind w:right="4253"/>
        <w:spacing w:line="240" w:lineRule="exac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за исполнением единой теплоснабжающей </w:t>
      </w:r>
      <w:r>
        <w:rPr>
          <w:rFonts w:eastAsia="Calibri"/>
          <w:b/>
          <w:sz w:val="28"/>
          <w:szCs w:val="28"/>
        </w:rPr>
      </w:r>
    </w:p>
    <w:p>
      <w:pPr>
        <w:ind w:right="4253"/>
        <w:spacing w:line="240" w:lineRule="exac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организацией обязательств </w:t>
      </w:r>
      <w:r>
        <w:rPr>
          <w:rFonts w:eastAsia="Calibri"/>
          <w:b/>
          <w:sz w:val="28"/>
          <w:szCs w:val="28"/>
        </w:rPr>
      </w:r>
    </w:p>
    <w:p>
      <w:pPr>
        <w:ind w:right="4253"/>
        <w:spacing w:line="240" w:lineRule="exac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по строительству, реконструкции </w:t>
      </w:r>
      <w:r>
        <w:rPr>
          <w:rFonts w:eastAsia="Calibri"/>
          <w:b/>
          <w:sz w:val="28"/>
          <w:szCs w:val="28"/>
        </w:rPr>
      </w:r>
    </w:p>
    <w:p>
      <w:pPr>
        <w:ind w:right="4253"/>
        <w:spacing w:line="240" w:lineRule="exac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и (или) модернизации объектов теплоснабжения на территории </w:t>
      </w:r>
      <w:r>
        <w:rPr>
          <w:rFonts w:eastAsia="Calibri"/>
          <w:b/>
          <w:sz w:val="28"/>
          <w:szCs w:val="28"/>
        </w:rPr>
      </w:r>
    </w:p>
    <w:p>
      <w:pPr>
        <w:ind w:right="4253"/>
        <w:spacing w:line="240" w:lineRule="exact"/>
        <w:rPr>
          <w:b/>
          <w:sz w:val="32"/>
          <w:szCs w:val="28"/>
        </w:rPr>
      </w:pPr>
      <w:r>
        <w:rPr>
          <w:rFonts w:eastAsia="Calibri"/>
          <w:b/>
          <w:sz w:val="28"/>
          <w:szCs w:val="28"/>
        </w:rPr>
        <w:t xml:space="preserve">города Перми </w:t>
      </w:r>
      <w:r>
        <w:rPr>
          <w:b/>
          <w:sz w:val="28"/>
          <w:szCs w:val="26"/>
        </w:rPr>
        <w:t xml:space="preserve">на 20</w:t>
      </w:r>
      <w:r>
        <w:rPr>
          <w:b/>
          <w:sz w:val="28"/>
          <w:szCs w:val="26"/>
        </w:rPr>
        <w:t xml:space="preserve">2</w:t>
      </w:r>
      <w:r>
        <w:rPr>
          <w:b/>
          <w:sz w:val="28"/>
          <w:szCs w:val="26"/>
        </w:rPr>
        <w:t xml:space="preserve">5</w:t>
      </w:r>
      <w:r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 xml:space="preserve">год</w:t>
      </w:r>
      <w:r>
        <w:rPr>
          <w:b/>
          <w:sz w:val="28"/>
          <w:szCs w:val="26"/>
        </w:rPr>
        <w:t xml:space="preserve"> </w:t>
      </w:r>
      <w:r>
        <w:rPr>
          <w:b/>
          <w:sz w:val="32"/>
          <w:szCs w:val="28"/>
        </w:rPr>
      </w:r>
    </w:p>
    <w:p>
      <w:pPr>
        <w:jc w:val="both"/>
        <w:rPr>
          <w:sz w:val="72"/>
          <w:szCs w:val="28"/>
        </w:rPr>
      </w:pPr>
      <w:r>
        <w:rPr>
          <w:sz w:val="72"/>
          <w:szCs w:val="28"/>
        </w:rPr>
      </w:r>
      <w:r>
        <w:rPr>
          <w:sz w:val="72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 октября 2003 г.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Российской Федерации», </w:t>
      </w:r>
      <w:r>
        <w:rPr>
          <w:sz w:val="28"/>
          <w:szCs w:val="28"/>
        </w:rPr>
        <w:t xml:space="preserve">от 27 июля </w:t>
      </w:r>
      <w:r>
        <w:rPr>
          <w:sz w:val="28"/>
          <w:szCs w:val="28"/>
        </w:rPr>
        <w:t xml:space="preserve">2010 г. № 190-ФЗ «О теплоснабжении»,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31 июля 2020 г. № 248-ФЗ «О государственном контроле (надзоре)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муниципальном контроле в Российской Федерации», постановлением Правительства Российской Федерации от 25 июня 2021 г. № 990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решениями Пермской городской Думы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26 июня 2012 г. № 138 «О создании департамента жилищно-коммунального хозяйства администрации города Перми», </w:t>
      </w:r>
      <w:r>
        <w:rPr>
          <w:sz w:val="28"/>
          <w:szCs w:val="28"/>
        </w:rPr>
        <w:t xml:space="preserve">от 21 декабря 2021 г. № </w:t>
      </w:r>
      <w:r>
        <w:rPr>
          <w:sz w:val="28"/>
          <w:szCs w:val="28"/>
        </w:rPr>
        <w:t xml:space="preserve">31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муниципальном контроле за исполнением единой теплоснабжающей организацией обязательств по строительству, реконструкции и (или) </w:t>
      </w:r>
      <w:r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t xml:space="preserve">модернизации объектов теплоснабжения на территории города Перми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прилагаемую </w:t>
      </w:r>
      <w:r>
        <w:rPr>
          <w:sz w:val="28"/>
          <w:szCs w:val="28"/>
        </w:rPr>
        <w:t xml:space="preserve">Программу профилактики рисков причинения вреда (ущерба) охраняемым законом ценностям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муниципальному контролю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за исполнением единой теплоснабжающей организацией обязательств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 строительству, реконструкции и (или) модернизации объектов теплоснабжения на территории города Перми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(</w:t>
      </w:r>
      <w:r>
        <w:rPr>
          <w:sz w:val="28"/>
          <w:szCs w:val="28"/>
        </w:rPr>
        <w:t xml:space="preserve">далее – Программа</w:t>
      </w:r>
      <w:r>
        <w:rPr>
          <w:sz w:val="28"/>
          <w:szCs w:val="28"/>
        </w:rPr>
        <w:t xml:space="preserve"> профилактики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контроля</w:t>
      </w:r>
      <w:r>
        <w:rPr>
          <w:sz w:val="28"/>
          <w:szCs w:val="28"/>
        </w:rPr>
        <w:t xml:space="preserve"> обязательств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единых теплоснабжающих организаций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развития инфраструктуры </w:t>
      </w:r>
      <w:r>
        <w:rPr>
          <w:sz w:val="28"/>
          <w:szCs w:val="28"/>
        </w:rPr>
        <w:t xml:space="preserve">департамента жилищно-коммунального хозяйства администрации </w:t>
      </w:r>
      <w:r>
        <w:rPr>
          <w:sz w:val="28"/>
          <w:szCs w:val="28"/>
        </w:rPr>
        <w:t xml:space="preserve">города Перми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беспечить: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выполнение Программы</w:t>
      </w:r>
      <w:r>
        <w:rPr>
          <w:sz w:val="28"/>
          <w:szCs w:val="28"/>
        </w:rPr>
        <w:t xml:space="preserve"> профилактики;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276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>
        <w:rPr>
          <w:color w:val="000000"/>
          <w:sz w:val="28"/>
          <w:szCs w:val="28"/>
        </w:rPr>
        <w:t xml:space="preserve">опубликование настоящего распоряжения в печатном средстве массовой информации «Официальный бюллетень органов местного </w:t>
      </w:r>
      <w:r>
        <w:rPr>
          <w:color w:val="000000"/>
          <w:sz w:val="28"/>
          <w:szCs w:val="28"/>
        </w:rPr>
        <w:t xml:space="preserve">самоуправления муниципального образования город Пермь», а также </w:t>
      </w:r>
      <w:r>
        <w:rPr>
          <w:color w:val="000000"/>
          <w:sz w:val="28"/>
          <w:szCs w:val="28"/>
        </w:rPr>
        <w:t xml:space="preserve">размещение на</w:t>
      </w:r>
      <w:r>
        <w:rPr>
          <w:color w:val="000000"/>
          <w:sz w:val="28"/>
          <w:szCs w:val="28"/>
        </w:rPr>
        <w:t xml:space="preserve"> официальном сайте муниципального образования город Пермь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в информационно-телекоммуникационной сети Интернет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дней со дня подписания настоящего распоряжения.</w:t>
      </w:r>
      <w:r>
        <w:rPr>
          <w:sz w:val="28"/>
          <w:szCs w:val="28"/>
        </w:rPr>
      </w:r>
    </w:p>
    <w:p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Настоящее распоряжение вступает в силу со дня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  <w:r>
        <w:rPr>
          <w:color w:val="000000"/>
          <w:sz w:val="28"/>
          <w:szCs w:val="28"/>
        </w:rPr>
      </w:r>
    </w:p>
    <w:p>
      <w:pPr>
        <w:ind w:firstLine="720"/>
        <w:jc w:val="both"/>
        <w:tabs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распоряж</w:t>
      </w:r>
      <w:r>
        <w:rPr>
          <w:sz w:val="28"/>
          <w:szCs w:val="28"/>
        </w:rPr>
        <w:t xml:space="preserve">ения возложить </w:t>
      </w:r>
      <w:r>
        <w:rPr>
          <w:sz w:val="28"/>
          <w:szCs w:val="28"/>
        </w:rPr>
        <w:br/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первого заместителя начальника департамента жилищно-коммунального хозяйства администрации города Перми Белоусова О.Л.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В.Л. Казанцев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848" w:type="dxa"/>
        <w:tblLook w:val="04A0" w:firstRow="1" w:lastRow="0" w:firstColumn="1" w:lastColumn="0" w:noHBand="0" w:noVBand="1"/>
      </w:tblPr>
      <w:tblGrid>
        <w:gridCol w:w="5920"/>
        <w:gridCol w:w="4928"/>
      </w:tblGrid>
      <w:tr>
        <w:tblPrEx/>
        <w:trPr/>
        <w:tc>
          <w:tcPr>
            <w:shd w:val="clear" w:color="auto" w:fill="auto"/>
            <w:tcW w:w="592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5670"/>
        <w:spacing w:line="240" w:lineRule="exact"/>
        <w:tabs>
          <w:tab w:val="left" w:pos="6486" w:leader="none"/>
          <w:tab w:val="right" w:pos="991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0"/>
        <w:spacing w:line="240" w:lineRule="exact"/>
        <w:tabs>
          <w:tab w:val="left" w:pos="6486" w:leader="none"/>
          <w:tab w:val="right" w:pos="9915" w:leader="none"/>
        </w:tabs>
        <w:rPr>
          <w:sz w:val="28"/>
          <w:szCs w:val="28"/>
        </w:rPr>
        <w:sectPr>
          <w:headerReference w:type="default" r:id="rId9"/>
          <w:headerReference w:type="even" r:id="rId10"/>
          <w:footnotePr/>
          <w:endnotePr/>
          <w:type w:val="nextPage"/>
          <w:pgSz w:w="11900" w:h="16820" w:orient="portrait"/>
          <w:pgMar w:top="363" w:right="567" w:bottom="1134" w:left="1418" w:header="720" w:footer="720" w:gutter="0"/>
          <w:pgNumType w:start="1"/>
          <w:cols w:num="1" w:sep="0" w:space="60" w:equalWidth="1"/>
          <w:docGrid w:linePitch="360"/>
          <w:titlePg/>
        </w:sect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0"/>
        <w:spacing w:line="240" w:lineRule="exact"/>
        <w:tabs>
          <w:tab w:val="left" w:pos="6486" w:leader="none"/>
          <w:tab w:val="right" w:pos="9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УТВЕРЖДЕНА</w:t>
      </w:r>
      <w:r>
        <w:rPr>
          <w:sz w:val="28"/>
          <w:szCs w:val="28"/>
        </w:rPr>
      </w:r>
    </w:p>
    <w:p>
      <w:pPr>
        <w:ind w:firstLine="5670"/>
        <w:spacing w:line="240" w:lineRule="exact"/>
        <w:tabs>
          <w:tab w:val="left" w:pos="6486" w:leader="none"/>
          <w:tab w:val="right" w:pos="9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распоряжением</w:t>
      </w:r>
      <w:r>
        <w:rPr>
          <w:sz w:val="28"/>
          <w:szCs w:val="28"/>
        </w:rPr>
        <w:t xml:space="preserve"> начальника</w:t>
      </w:r>
      <w:r>
        <w:rPr>
          <w:sz w:val="28"/>
          <w:szCs w:val="28"/>
        </w:rPr>
      </w:r>
    </w:p>
    <w:p>
      <w:pPr>
        <w:ind w:firstLine="5670"/>
        <w:spacing w:line="240" w:lineRule="exact"/>
        <w:tabs>
          <w:tab w:val="left" w:pos="6486" w:leader="none"/>
          <w:tab w:val="right" w:pos="9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департамента жилищно- </w:t>
      </w:r>
      <w:r>
        <w:rPr>
          <w:sz w:val="28"/>
          <w:szCs w:val="28"/>
        </w:rPr>
      </w:r>
    </w:p>
    <w:p>
      <w:pPr>
        <w:ind w:firstLine="5670"/>
        <w:spacing w:line="240" w:lineRule="exact"/>
        <w:tabs>
          <w:tab w:val="left" w:pos="6486" w:leader="none"/>
          <w:tab w:val="right" w:pos="9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коммунального хозяйства</w:t>
      </w:r>
      <w:r>
        <w:rPr>
          <w:sz w:val="28"/>
          <w:szCs w:val="28"/>
        </w:rPr>
      </w:r>
    </w:p>
    <w:p>
      <w:pPr>
        <w:ind w:firstLine="5670"/>
        <w:spacing w:line="240" w:lineRule="exact"/>
        <w:tabs>
          <w:tab w:val="left" w:pos="6499" w:leader="none"/>
          <w:tab w:val="right" w:pos="9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Перми </w:t>
      </w:r>
      <w:r>
        <w:rPr>
          <w:sz w:val="28"/>
          <w:szCs w:val="28"/>
        </w:rPr>
      </w:r>
    </w:p>
    <w:p>
      <w:pPr>
        <w:ind w:firstLine="5670"/>
        <w:spacing w:line="240" w:lineRule="exact"/>
        <w:tabs>
          <w:tab w:val="left" w:pos="6499" w:leader="none"/>
          <w:tab w:val="right" w:pos="9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ПРОФИЛАКТИКИ </w:t>
      </w:r>
      <w:r>
        <w:rPr>
          <w:b/>
          <w:bCs/>
          <w:sz w:val="28"/>
          <w:szCs w:val="28"/>
        </w:rPr>
        <w:br/>
        <w:t xml:space="preserve">рисков причинения вреда (ущерба) охраняемым законом ценностям 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по муниципальному контролю за исполнением единой теплоснабжающей организацией обязательств по строительству, реконструкции </w:t>
      </w:r>
      <w:r>
        <w:rPr>
          <w:b/>
          <w:bCs/>
          <w:sz w:val="28"/>
          <w:szCs w:val="28"/>
        </w:rPr>
      </w:r>
    </w:p>
    <w:p>
      <w:pPr>
        <w:jc w:val="center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(или) модернизации объектов теплоснабжения </w:t>
      </w:r>
      <w:r>
        <w:rPr>
          <w:b/>
          <w:bCs/>
          <w:sz w:val="28"/>
          <w:szCs w:val="28"/>
        </w:rPr>
      </w:r>
    </w:p>
    <w:p>
      <w:pPr>
        <w:jc w:val="center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</w:t>
      </w:r>
      <w:r>
        <w:rPr>
          <w:b/>
          <w:bCs/>
          <w:sz w:val="28"/>
          <w:szCs w:val="28"/>
        </w:rPr>
        <w:t xml:space="preserve">города Перми </w:t>
      </w:r>
      <w:r>
        <w:rPr>
          <w:b/>
          <w:bCs/>
          <w:sz w:val="28"/>
          <w:szCs w:val="28"/>
        </w:rPr>
      </w:r>
    </w:p>
    <w:p>
      <w:pPr>
        <w:jc w:val="center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</w:r>
    </w:p>
    <w:p>
      <w:pPr>
        <w:jc w:val="center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Анализ текущего состояния осуществления муниципального </w:t>
      </w:r>
      <w:r>
        <w:rPr>
          <w:b/>
          <w:bCs/>
          <w:sz w:val="28"/>
          <w:szCs w:val="28"/>
        </w:rPr>
        <w:t xml:space="preserve">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</w:t>
      </w:r>
      <w:r>
        <w:rPr>
          <w:b/>
          <w:bCs/>
          <w:sz w:val="28"/>
          <w:szCs w:val="28"/>
        </w:rPr>
        <w:t xml:space="preserve">, описание текущего уровня развития профилактической деятельности </w:t>
      </w:r>
      <w:r>
        <w:rPr>
          <w:b/>
          <w:bCs/>
          <w:sz w:val="28"/>
          <w:szCs w:val="28"/>
        </w:rPr>
        <w:t xml:space="preserve">департамента жилищно-коммунального хозяйства</w:t>
      </w:r>
      <w:r>
        <w:rPr>
          <w:b/>
          <w:bCs/>
          <w:sz w:val="28"/>
          <w:szCs w:val="28"/>
        </w:rPr>
        <w:t xml:space="preserve"> администрации города Перми, характеристика проблем, на решение которых направлена программа профилактики</w:t>
      </w:r>
      <w:r>
        <w:rPr>
          <w:b/>
          <w:bCs/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рограмма</w:t>
      </w:r>
      <w:r>
        <w:rPr>
          <w:sz w:val="28"/>
          <w:szCs w:val="28"/>
        </w:rPr>
        <w:t xml:space="preserve"> профилактики</w:t>
      </w:r>
      <w:r>
        <w:rPr>
          <w:sz w:val="28"/>
          <w:szCs w:val="28"/>
        </w:rPr>
        <w:t xml:space="preserve"> разработана </w:t>
      </w:r>
      <w:r>
        <w:rPr>
          <w:sz w:val="28"/>
          <w:szCs w:val="28"/>
        </w:rPr>
        <w:t xml:space="preserve">в соответствии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Федеральным законом</w:t>
      </w:r>
      <w:r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>
        <w:rPr>
          <w:sz w:val="28"/>
          <w:szCs w:val="28"/>
        </w:rPr>
        <w:t xml:space="preserve"> (далее - Федеральный закон о контроле)</w:t>
      </w:r>
      <w:r>
        <w:rPr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постановлением</w:t>
      </w:r>
      <w:r>
        <w:rPr>
          <w:sz w:val="28"/>
          <w:szCs w:val="28"/>
        </w:rPr>
        <w:t xml:space="preserve"> Правитель</w:t>
      </w:r>
      <w:r>
        <w:rPr>
          <w:sz w:val="28"/>
          <w:szCs w:val="28"/>
        </w:rPr>
        <w:t xml:space="preserve">ства Российской Федерации от 25.06.2021 </w:t>
      </w:r>
      <w:r>
        <w:rPr>
          <w:sz w:val="28"/>
          <w:szCs w:val="28"/>
        </w:rPr>
        <w:t xml:space="preserve">№ 990 «О</w:t>
      </w:r>
      <w:r>
        <w:rPr>
          <w:sz w:val="28"/>
          <w:szCs w:val="28"/>
        </w:rPr>
        <w:t xml:space="preserve">б утверждении Правил разработки и</w:t>
      </w:r>
      <w:r>
        <w:rPr>
          <w:sz w:val="28"/>
          <w:szCs w:val="28"/>
        </w:rPr>
        <w:t xml:space="preserve"> утверждения контрольными (надзорными) органами программы профилактики рисков причинения вреда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(ущерба) охраняемым законом ценностям» (далее – Правила)</w:t>
      </w:r>
      <w:r>
        <w:rPr>
          <w:sz w:val="28"/>
          <w:szCs w:val="28"/>
        </w:rPr>
        <w:t xml:space="preserve">, р</w:t>
      </w:r>
      <w:r>
        <w:rPr>
          <w:sz w:val="28"/>
          <w:szCs w:val="28"/>
        </w:rPr>
        <w:t xml:space="preserve">ешени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 Пермской городской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21 декабря 2021 г. № 315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</w:t>
      </w:r>
      <w:r>
        <w:rPr>
          <w:rFonts w:eastAsia="Calibri"/>
          <w:sz w:val="28"/>
          <w:szCs w:val="28"/>
        </w:rPr>
        <w:t xml:space="preserve">муниципальном контроле за исполнением единой теплоснабжающей организацией обязательств по строительству, реконструкции и (или) </w:t>
      </w:r>
      <w:r>
        <w:rPr>
          <w:rFonts w:eastAsia="Calibri"/>
          <w:sz w:val="28"/>
          <w:szCs w:val="28"/>
        </w:rPr>
        <w:t xml:space="preserve">                     </w:t>
      </w:r>
      <w:r>
        <w:rPr>
          <w:rFonts w:eastAsia="Calibri"/>
          <w:sz w:val="28"/>
          <w:szCs w:val="28"/>
        </w:rPr>
        <w:t xml:space="preserve">модернизации объектов теплоснабжения на территории города Перми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далее-Положение)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профилактики</w:t>
      </w:r>
      <w:r>
        <w:rPr>
          <w:sz w:val="28"/>
          <w:szCs w:val="28"/>
        </w:rPr>
        <w:t xml:space="preserve">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и (или) модернизации объектов теплоснабжения на территории города Перми</w:t>
      </w:r>
      <w:r>
        <w:rPr>
          <w:sz w:val="28"/>
          <w:szCs w:val="28"/>
        </w:rPr>
        <w:t xml:space="preserve"> (далее - Муниципальный контроль</w:t>
      </w:r>
      <w:r>
        <w:rPr>
          <w:sz w:val="28"/>
          <w:szCs w:val="28"/>
        </w:rPr>
        <w:t xml:space="preserve"> обязательств ЕТО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10"/>
        <w:ind w:firstLine="540"/>
        <w:jc w:val="both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функциональным органом администрации города Перми, осуществляющим функции в сфере жилищно-коммунального хозяйства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 xml:space="preserve">ьный орган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710"/>
        <w:ind w:firstLine="540"/>
        <w:jc w:val="both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 ЕТО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соблюдение единой теплоснабжающей организацией в процессе реализации мероприя</w:t>
      </w:r>
      <w:r>
        <w:rPr>
          <w:rFonts w:ascii="Times New Roman" w:hAnsi="Times New Roman" w:cs="Times New Roman"/>
          <w:sz w:val="28"/>
          <w:szCs w:val="28"/>
        </w:rPr>
        <w:t xml:space="preserve">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</w:t>
      </w:r>
      <w:hyperlink r:id="rId12" w:tooltip="consultantplus://offline/ref=1339C4A77E288CCA26C287BECC2CA1CDA761A1342048E366F94624F8FCFB8DEAFB9BF4D552DFB3FF9B97BA96C9a9u5E" w:history="1">
        <w:r>
          <w:rPr>
            <w:rFonts w:ascii="Times New Roman" w:hAnsi="Times New Roman" w:cs="Times New Roman"/>
            <w:sz w:val="28"/>
            <w:szCs w:val="28"/>
          </w:rPr>
          <w:t xml:space="preserve"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190-ФЗ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теплоснабжении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и принятых в соответствии с ним иных нормативных правовых актов, в том числе соответствие таких реализуемых мероприятий схеме теплоснабжения (д</w:t>
      </w:r>
      <w:r>
        <w:rPr>
          <w:rFonts w:ascii="Times New Roman" w:hAnsi="Times New Roman" w:cs="Times New Roman"/>
          <w:sz w:val="28"/>
          <w:szCs w:val="28"/>
        </w:rPr>
        <w:t xml:space="preserve">алее - обязательные требования).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ind w:firstLine="540"/>
        <w:jc w:val="both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сполнение решений, принимаемых по результатам контрольных мероприятий.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before="22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Под контролируемым лицом при осуществлении Муниципального контроля понимается единая тепл</w:t>
      </w:r>
      <w:r>
        <w:rPr>
          <w:sz w:val="28"/>
          <w:szCs w:val="28"/>
        </w:rPr>
        <w:t xml:space="preserve">оснабжающая организация, деятельность, действия (бездействие) или результаты деятельности которой либо производственные объекты, расположенные в границах города Перми, находящиеся во владении и (или) в пользовании которой, подлежат Муниципальному контролю.</w:t>
      </w:r>
      <w:r>
        <w:rPr>
          <w:sz w:val="28"/>
          <w:szCs w:val="28"/>
        </w:rPr>
      </w:r>
    </w:p>
    <w:p>
      <w:pPr>
        <w:ind w:firstLine="540"/>
        <w:jc w:val="both"/>
        <w:spacing w:before="22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Согласно пункта </w:t>
      </w:r>
      <w:r>
        <w:rPr>
          <w:sz w:val="28"/>
          <w:szCs w:val="28"/>
        </w:rPr>
        <w:t xml:space="preserve">4.3. </w:t>
      </w:r>
      <w:r>
        <w:rPr>
          <w:sz w:val="28"/>
          <w:szCs w:val="28"/>
        </w:rPr>
        <w:t xml:space="preserve">главы </w:t>
      </w:r>
      <w:r>
        <w:rPr>
          <w:sz w:val="28"/>
          <w:szCs w:val="28"/>
          <w:lang w:val="en-US"/>
        </w:rPr>
        <w:t xml:space="preserve">IV</w:t>
      </w:r>
      <w:r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осудебный порядок подачи жалоб, установленный главой 9 Федерального закона о контроле, при осуществлении Муниципального контроля не применяется.</w:t>
      </w:r>
      <w:r>
        <w:rPr>
          <w:sz w:val="28"/>
          <w:szCs w:val="28"/>
        </w:rPr>
      </w:r>
    </w:p>
    <w:p>
      <w:pPr>
        <w:ind w:firstLine="540"/>
        <w:jc w:val="both"/>
        <w:spacing w:before="22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Объектами Муниципального контроля </w:t>
      </w:r>
      <w:r>
        <w:rPr>
          <w:sz w:val="28"/>
          <w:szCs w:val="28"/>
        </w:rPr>
        <w:t xml:space="preserve">обязательств ЕТО </w:t>
      </w:r>
      <w:r>
        <w:rPr>
          <w:sz w:val="28"/>
          <w:szCs w:val="28"/>
        </w:rPr>
        <w:t xml:space="preserve">являются:</w:t>
      </w:r>
      <w:r>
        <w:rPr>
          <w:sz w:val="28"/>
          <w:szCs w:val="28"/>
        </w:rPr>
      </w:r>
    </w:p>
    <w:p>
      <w:pPr>
        <w:ind w:firstLine="540"/>
        <w:jc w:val="both"/>
        <w:spacing w:before="22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деятельность, действия (бездействие) контролируемого лица по реализации мероприятий по строительству, реконструкции и (или) </w:t>
      </w:r>
      <w:r>
        <w:rPr>
          <w:sz w:val="28"/>
          <w:szCs w:val="28"/>
        </w:rPr>
        <w:t xml:space="preserve">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него в схеме теплоснабжения в соответствии с перечнем и сроками, указанными в схеме теплоснабжения,</w:t>
      </w:r>
      <w:r>
        <w:rPr>
          <w:sz w:val="28"/>
          <w:szCs w:val="28"/>
        </w:rPr>
      </w:r>
    </w:p>
    <w:p>
      <w:pPr>
        <w:ind w:firstLine="540"/>
        <w:jc w:val="both"/>
        <w:spacing w:before="22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результаты деятельности контролируемого лица по реализации мероприятий по строительству, реконструкции и (или) модернизации объектов тепло</w:t>
      </w:r>
      <w:r>
        <w:rPr>
          <w:sz w:val="28"/>
          <w:szCs w:val="28"/>
        </w:rPr>
        <w:t xml:space="preserve">снабжения, необходимых для развития, повышения надежности и энергетической эффективности системы теплоснабжения, определенные для него в схеме теплоснабжения, в том числе продукция (товары), работы и услуги, к которым предъявляются требования, указанные в </w:t>
      </w:r>
      <w:hyperlink r:id="rId13" w:tooltip="consultantplus://offline/ref=1339C4A77E288CCA26C287BECC2CA1CDA761A1342048E366F94624F8FCFB8DEAE99BACD952D8ABF89B82ECC78FC34D4BE10696957C1A7E24a7uBE" w:history="1">
        <w:r>
          <w:rPr>
            <w:sz w:val="28"/>
            <w:szCs w:val="28"/>
          </w:rPr>
          <w:t xml:space="preserve">части 3 статьи 23.7</w:t>
        </w:r>
      </w:hyperlink>
      <w:r>
        <w:rPr>
          <w:sz w:val="28"/>
          <w:szCs w:val="28"/>
        </w:rPr>
        <w:t xml:space="preserve"> Федерального закона от 27.07.2010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190-ФЗ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теплоснабжении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осуществлении </w:t>
      </w:r>
      <w:r>
        <w:rPr>
          <w:rFonts w:eastAsia="Calibri"/>
          <w:sz w:val="28"/>
          <w:szCs w:val="28"/>
        </w:rPr>
        <w:t xml:space="preserve">Муниципального контроля </w:t>
      </w:r>
      <w:r>
        <w:rPr>
          <w:rFonts w:eastAsia="Calibri"/>
          <w:sz w:val="28"/>
          <w:szCs w:val="28"/>
        </w:rPr>
        <w:t xml:space="preserve">обязательств ЕТО </w:t>
      </w:r>
      <w:r>
        <w:rPr>
          <w:rFonts w:eastAsia="Calibri"/>
          <w:sz w:val="28"/>
          <w:szCs w:val="28"/>
        </w:rPr>
        <w:t xml:space="preserve">на территории города Перми контрольным органом:</w:t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</w:t>
      </w:r>
      <w:r>
        <w:rPr>
          <w:rFonts w:eastAsia="Calibri"/>
          <w:sz w:val="28"/>
          <w:szCs w:val="28"/>
        </w:rPr>
        <w:t xml:space="preserve"> 202</w:t>
      </w:r>
      <w:r>
        <w:rPr>
          <w:rFonts w:eastAsia="Calibri"/>
          <w:sz w:val="28"/>
          <w:szCs w:val="28"/>
        </w:rPr>
        <w:t xml:space="preserve">3</w:t>
      </w:r>
      <w:r>
        <w:rPr>
          <w:rFonts w:eastAsia="Calibri"/>
          <w:sz w:val="28"/>
          <w:szCs w:val="28"/>
        </w:rPr>
        <w:t xml:space="preserve"> году:</w:t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проведено </w:t>
      </w:r>
      <w:r>
        <w:rPr>
          <w:rFonts w:eastAsia="Calibri"/>
          <w:sz w:val="28"/>
          <w:szCs w:val="28"/>
        </w:rPr>
        <w:t xml:space="preserve">62 профилактических мероприятия (консультирование</w:t>
      </w:r>
      <w:r>
        <w:rPr>
          <w:rFonts w:eastAsia="Calibri"/>
          <w:sz w:val="28"/>
          <w:szCs w:val="28"/>
        </w:rPr>
        <w:t xml:space="preserve">, информирование</w:t>
      </w:r>
      <w:r>
        <w:rPr>
          <w:rFonts w:eastAsia="Calibri"/>
          <w:sz w:val="28"/>
          <w:szCs w:val="28"/>
        </w:rPr>
        <w:t xml:space="preserve">).</w:t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соответствии с программой профилактики на 202</w:t>
      </w:r>
      <w:r>
        <w:rPr>
          <w:rFonts w:eastAsia="Calibri"/>
          <w:sz w:val="28"/>
          <w:szCs w:val="28"/>
        </w:rPr>
        <w:t xml:space="preserve">4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год </w:t>
      </w:r>
      <w:r>
        <w:rPr>
          <w:rFonts w:eastAsia="Calibri"/>
          <w:sz w:val="28"/>
          <w:szCs w:val="28"/>
        </w:rPr>
        <w:t xml:space="preserve">контрольным органом по состоянию </w:t>
      </w:r>
      <w:r>
        <w:rPr>
          <w:rFonts w:eastAsia="Calibri"/>
          <w:sz w:val="28"/>
          <w:szCs w:val="28"/>
        </w:rPr>
        <w:t xml:space="preserve">на 01 сентября</w:t>
      </w:r>
      <w:r>
        <w:rPr>
          <w:rFonts w:eastAsia="Calibri"/>
          <w:sz w:val="28"/>
          <w:szCs w:val="28"/>
        </w:rPr>
        <w:t xml:space="preserve"> 202</w:t>
      </w:r>
      <w:r>
        <w:rPr>
          <w:rFonts w:eastAsia="Calibri"/>
          <w:sz w:val="28"/>
          <w:szCs w:val="28"/>
        </w:rPr>
        <w:t xml:space="preserve">4</w:t>
      </w:r>
      <w:r>
        <w:rPr>
          <w:rFonts w:eastAsia="Calibri"/>
          <w:sz w:val="28"/>
          <w:szCs w:val="28"/>
        </w:rPr>
        <w:t xml:space="preserve"> года проведены </w:t>
      </w:r>
      <w:r>
        <w:rPr>
          <w:rFonts w:eastAsia="Calibri"/>
          <w:sz w:val="28"/>
          <w:szCs w:val="28"/>
        </w:rPr>
        <w:t xml:space="preserve">следующие профилактические мероприятия</w:t>
      </w:r>
      <w:r>
        <w:rPr>
          <w:rFonts w:eastAsia="Calibri"/>
          <w:sz w:val="28"/>
          <w:szCs w:val="28"/>
        </w:rPr>
        <w:t xml:space="preserve">:</w:t>
      </w:r>
      <w:r>
        <w:rPr>
          <w:rFonts w:eastAsia="Calibri"/>
          <w:sz w:val="28"/>
          <w:szCs w:val="28"/>
        </w:rPr>
        <w:t xml:space="preserve"> информирование и консультирование. </w:t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Информирование контролируемых лиц</w:t>
      </w:r>
      <w:r>
        <w:rPr>
          <w:rFonts w:eastAsia="Calibri"/>
          <w:sz w:val="28"/>
          <w:szCs w:val="28"/>
        </w:rPr>
        <w:t xml:space="preserve"> и иных заинтересованных лиц по вопросам соблюдения обязательных требований осуществлено контрольным органом посредством размещения в сети интернет сведений, предусмотренных частью 3 статьи 46 Федерального закона о контроле и программой профилактики на 202</w:t>
      </w:r>
      <w:r>
        <w:rPr>
          <w:rFonts w:eastAsia="Calibri"/>
          <w:sz w:val="28"/>
          <w:szCs w:val="28"/>
        </w:rPr>
        <w:t xml:space="preserve">4</w:t>
      </w:r>
      <w:r>
        <w:rPr>
          <w:rFonts w:eastAsia="Calibri"/>
          <w:sz w:val="28"/>
          <w:szCs w:val="28"/>
        </w:rPr>
        <w:t xml:space="preserve"> год.</w:t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Консультирование контролируемых лиц и их представителей, связанных с организацией и осуществлением контроля за ЕТО, осуществлялось должностными лицами контрольного органа в устной форме по телефону и при проведении личных приемов.</w:t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указанной форме </w:t>
      </w:r>
      <w:r>
        <w:rPr>
          <w:rFonts w:eastAsia="Calibri"/>
          <w:sz w:val="28"/>
          <w:szCs w:val="28"/>
        </w:rPr>
        <w:t xml:space="preserve">проведено </w:t>
      </w:r>
      <w:r>
        <w:rPr>
          <w:rFonts w:eastAsia="Calibri"/>
          <w:sz w:val="28"/>
          <w:szCs w:val="28"/>
        </w:rPr>
        <w:t xml:space="preserve">77 профилактических мероприятий </w:t>
      </w:r>
      <w:r>
        <w:rPr>
          <w:rFonts w:eastAsia="Calibri"/>
          <w:sz w:val="28"/>
          <w:szCs w:val="28"/>
        </w:rPr>
        <w:t xml:space="preserve">(</w:t>
      </w:r>
      <w:r>
        <w:rPr>
          <w:rFonts w:eastAsia="Calibri"/>
          <w:sz w:val="28"/>
          <w:szCs w:val="28"/>
        </w:rPr>
        <w:t xml:space="preserve">консультирование</w:t>
      </w:r>
      <w:r>
        <w:rPr>
          <w:rFonts w:eastAsia="Calibri"/>
          <w:sz w:val="28"/>
          <w:szCs w:val="28"/>
        </w:rPr>
        <w:t xml:space="preserve">, информирование)</w:t>
      </w:r>
      <w:r>
        <w:rPr>
          <w:rFonts w:eastAsia="Calibri"/>
          <w:sz w:val="28"/>
          <w:szCs w:val="28"/>
        </w:rPr>
        <w:t xml:space="preserve">.</w:t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shd w:val="clear" w:color="auto" w:fill="ffffff" w:themeFill="background1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выявления при проведении контрольного мероприятия нарушений обязательных требований контролируемым лицом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пределах полномочий, предусмотренных законодательством Российской Федерации, прин</w:t>
      </w:r>
      <w:r>
        <w:rPr>
          <w:sz w:val="28"/>
          <w:szCs w:val="28"/>
        </w:rPr>
        <w:t xml:space="preserve">имаются</w:t>
      </w:r>
      <w:r>
        <w:rPr>
          <w:sz w:val="28"/>
          <w:szCs w:val="28"/>
        </w:rPr>
        <w:t xml:space="preserve"> меры в соответствии с Федеральным законом о контроле. </w:t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 контроль</w:t>
      </w:r>
      <w:r>
        <w:rPr>
          <w:sz w:val="28"/>
          <w:szCs w:val="28"/>
        </w:rPr>
        <w:t xml:space="preserve"> обязательств ЕТО осуществляется посредством профилактики нар</w:t>
      </w:r>
      <w:r>
        <w:rPr>
          <w:sz w:val="28"/>
          <w:szCs w:val="28"/>
        </w:rPr>
        <w:t xml:space="preserve">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  <w:r>
        <w:rPr>
          <w:sz w:val="28"/>
          <w:szCs w:val="28"/>
        </w:rPr>
      </w:r>
    </w:p>
    <w:p>
      <w:pPr>
        <w:pStyle w:val="7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Проблемы, на решение которых направлена Программа профилактики: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эффективности, проводимой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органом работы</w:t>
      </w:r>
      <w:r>
        <w:rPr>
          <w:rFonts w:ascii="Times New Roman" w:hAnsi="Times New Roman" w:cs="Times New Roman"/>
          <w:sz w:val="28"/>
          <w:szCs w:val="28"/>
        </w:rPr>
        <w:t xml:space="preserve"> по предупреждению нарушений юридическими лицами, индивидуальными предпринимателями и гражданами обязательных требований;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улучшение информационного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контроля обязательств ЕТО по предупреждению нарушений юридическими лицами, индивидуальными предпринимателями и гражданами обязательных требований;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общего числа нарушений юридическими лицами, индивидуальными предпринимателями и гражданами обязательных требований.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2. Цели и задачи реализации Программы профилактики</w:t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Программа профилактики направлена на достижение следующих целей: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добросовестного соблюдения обязательных требований контролируемым лицом, устранения условий, причин и факторов, способных привести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нарушениям обязательных требований и (или) причинению вреда (ущерба) охраняемым законом ценностям, а также создания условий для доведения обязательных требований до контролируемого лица, повышения информированности о способах их соблюдения.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устранение условий, причин и факторов, способных привести </w:t>
      </w:r>
      <w:r>
        <w:rPr>
          <w:sz w:val="28"/>
          <w:szCs w:val="28"/>
        </w:rPr>
        <w:br/>
        <w:t xml:space="preserve">к нарушениям обязательных требований и (или) причинению вреда (ущерба) охраняемым законом ценностям;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создание условий для доведения обязательных требований </w:t>
      </w:r>
      <w:r>
        <w:rPr>
          <w:sz w:val="28"/>
          <w:szCs w:val="28"/>
        </w:rPr>
        <w:br/>
        <w:t xml:space="preserve">до контролируемых лиц, повышение информированности о способах </w:t>
      </w:r>
      <w:r>
        <w:rPr>
          <w:sz w:val="28"/>
          <w:szCs w:val="28"/>
        </w:rPr>
        <w:br/>
        <w:t xml:space="preserve">их соблюдения.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2. Задачами Программы профилактики являются: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укрепление системы профилактики нарушений обязательных требований;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выявление причин, факторов и условий, способствующих нарушениям обязательных требований;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формирование одинакового понимания обязательных требований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у всех участников контрольной деятельности;</w:t>
      </w:r>
      <w:r>
        <w:rPr>
          <w:sz w:val="28"/>
          <w:szCs w:val="28"/>
        </w:rPr>
      </w:r>
    </w:p>
    <w:p>
      <w:pPr>
        <w:ind w:firstLine="709"/>
        <w:jc w:val="both"/>
        <w:rPr>
          <w:iCs/>
          <w:sz w:val="28"/>
          <w:szCs w:val="28"/>
        </w:rPr>
        <w:outlineLvl w:val="2"/>
      </w:pPr>
      <w:r>
        <w:rPr>
          <w:iCs/>
          <w:sz w:val="28"/>
          <w:szCs w:val="28"/>
        </w:rPr>
        <w:t xml:space="preserve">повышение правосознания и правовой культуры подконтрольных субъектов при соблюдении обязательных требований.</w:t>
      </w:r>
      <w:r>
        <w:rPr>
          <w:iCs/>
          <w:sz w:val="28"/>
          <w:szCs w:val="28"/>
        </w:rPr>
      </w:r>
    </w:p>
    <w:p>
      <w:pPr>
        <w:contextualSpacing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. Перечень профилактических мероприятий, сроки (периодичность) их проведения на 202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  <w:outlineLvl w:val="1"/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10206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4394"/>
        <w:gridCol w:w="1985"/>
        <w:gridCol w:w="1984"/>
      </w:tblGrid>
      <w:tr>
        <w:tblPrEx/>
        <w:trPr>
          <w:trHeight w:val="701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профилактического мероприятия</w:t>
            </w:r>
            <w:r>
              <w:rPr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мероприятия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реализации мероприятия</w:t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</w:t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"/>
        </w:rPr>
      </w:pPr>
      <w:r>
        <w:rPr>
          <w:sz w:val="2"/>
        </w:rPr>
      </w:r>
      <w:r>
        <w:rPr>
          <w:sz w:val="2"/>
        </w:rPr>
      </w:r>
    </w:p>
    <w:p>
      <w:pPr>
        <w:rPr>
          <w:sz w:val="2"/>
        </w:rPr>
      </w:pPr>
      <w:r>
        <w:rPr>
          <w:sz w:val="2"/>
        </w:rPr>
      </w:r>
      <w:r>
        <w:rPr>
          <w:sz w:val="2"/>
        </w:rPr>
      </w:r>
    </w:p>
    <w:tbl>
      <w:tblPr>
        <w:tblW w:w="10206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4394"/>
        <w:gridCol w:w="1985"/>
        <w:gridCol w:w="1984"/>
      </w:tblGrid>
      <w:tr>
        <w:tblPrEx/>
        <w:trPr>
          <w:trHeight w:val="311"/>
          <w:tblHeader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66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Информирование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ind w:right="-143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сведений, предусмотренных частью 3 статьи 46 Федерального закона </w:t>
            </w:r>
            <w:r>
              <w:rPr>
                <w:sz w:val="24"/>
                <w:szCs w:val="24"/>
              </w:rPr>
            </w:r>
          </w:p>
          <w:p>
            <w:pPr>
              <w:ind w:right="-143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контроле на официальном сайте Органа контроля обязательств ЕТО </w:t>
            </w:r>
            <w:r>
              <w:rPr>
                <w:sz w:val="24"/>
                <w:szCs w:val="24"/>
              </w:rPr>
            </w:r>
          </w:p>
          <w:p>
            <w:pPr>
              <w:ind w:right="-143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сети «Интернет», в средствах массовой информации, через </w:t>
            </w:r>
            <w:r>
              <w:rPr>
                <w:sz w:val="24"/>
                <w:szCs w:val="24"/>
              </w:rPr>
              <w:t xml:space="preserve">личные  кабинеты</w:t>
            </w:r>
            <w:r>
              <w:rPr>
                <w:sz w:val="24"/>
                <w:szCs w:val="24"/>
              </w:rPr>
              <w:t xml:space="preserve"> контролируемых лиц </w:t>
            </w:r>
            <w:r>
              <w:rPr>
                <w:sz w:val="24"/>
                <w:szCs w:val="24"/>
              </w:rPr>
            </w:r>
          </w:p>
          <w:p>
            <w:pPr>
              <w:ind w:right="-143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государственных информационных </w:t>
            </w:r>
            <w:r>
              <w:rPr>
                <w:sz w:val="24"/>
                <w:szCs w:val="24"/>
              </w:rPr>
            </w:r>
          </w:p>
          <w:p>
            <w:pPr>
              <w:ind w:right="-143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системах (при их наличии) и в иных формах следующих сведений:</w:t>
            </w:r>
            <w:r>
              <w:rPr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тексты нормативных правовых актов, регулирующих осуществление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об изменениях, внесенных в нормативные правовые акты, регулирующие осуществление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 сроках и порядке их вступления в силу;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 нормативных правовых актов с указанием структурных единиц этих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актов, содержащих обязательные требования, оценка соблюдения которых является предметом муниципального контроля, а также информация о мерах ответственности, применяемых при нарушении обязательных требований, с текстами в действующей редакции;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 индикаторов риска нарушения обязательных требований;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руководства по соблюдению обязательных требований;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отнесения объектов контроля к категориям риска;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исчерпывающий перечень сведений, которые могут запрашиваться у контрольного органа;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-сведения об исполнении предписаний контрольного органа;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программа профилактики рисков причинения вреда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(ущерба)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5 рабочих дней после дня внесения   изменений в </w:t>
            </w:r>
            <w:r>
              <w:rPr>
                <w:sz w:val="24"/>
                <w:szCs w:val="24"/>
              </w:rPr>
              <w:t xml:space="preserve">НПА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Должностные лица, определенные правовым актом руководителя </w:t>
            </w:r>
            <w:r>
              <w:rPr>
                <w:sz w:val="24"/>
                <w:szCs w:val="24"/>
              </w:rPr>
              <w:t xml:space="preserve">контрольного органа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Должностные лица, </w:t>
            </w:r>
            <w:r>
              <w:rPr>
                <w:sz w:val="24"/>
                <w:szCs w:val="24"/>
              </w:rPr>
              <w:t xml:space="preserve">осуществляющие функции контрольного органа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663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план проведения плановых контрольных мероприятий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доклад о муниципальном контроле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доклад, обобщения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равоприменительной практики контрольного органа;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01.11.2025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15.03.202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15.03.2026</w:t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662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 привлечении контролируемых лиц к административной ответственности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5 рабочих дня </w:t>
            </w:r>
            <w:r>
              <w:rPr>
                <w:sz w:val="24"/>
                <w:szCs w:val="24"/>
              </w:rPr>
              <w:t xml:space="preserve">после  получения</w:t>
            </w:r>
            <w:r>
              <w:rPr>
                <w:sz w:val="24"/>
                <w:szCs w:val="24"/>
              </w:rPr>
              <w:t xml:space="preserve"> судебного решения, постановления по делу административного правонарушения</w:t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Объявление предостережения</w:t>
            </w:r>
            <w:r>
              <w:rPr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контролируемому лицу предостережения о недопустимости 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нарушений обязательных требований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порядке и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сроки, установленные действующим законодательством. В течение 24 </w:t>
            </w:r>
            <w:r>
              <w:rPr>
                <w:sz w:val="24"/>
                <w:szCs w:val="24"/>
              </w:rPr>
              <w:t xml:space="preserve">часов с момента </w:t>
            </w:r>
            <w:r>
              <w:rPr>
                <w:sz w:val="24"/>
                <w:szCs w:val="24"/>
              </w:rPr>
              <w:t xml:space="preserve">выявления  нарушения</w:t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Должностные лица, осуществляющие </w:t>
            </w:r>
            <w:r>
              <w:rPr>
                <w:sz w:val="24"/>
                <w:szCs w:val="24"/>
              </w:rPr>
              <w:t xml:space="preserve">функции </w:t>
            </w:r>
            <w:r>
              <w:rPr>
                <w:sz w:val="24"/>
                <w:szCs w:val="24"/>
              </w:rPr>
              <w:t xml:space="preserve"> контрольного</w:t>
            </w:r>
            <w:r>
              <w:rPr>
                <w:sz w:val="24"/>
                <w:szCs w:val="24"/>
              </w:rPr>
              <w:t xml:space="preserve"> органа.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Консультирование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Консультирование контролируемых лиц и их представителей посредством предоставления информации: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организация и осуществление муниципального контроля ЕТО.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контролируемых лиц и их представителей осуществляется в устной и письменной формах по следующим вопросам: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и осуществление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осуществления профилактических, контрольных мероприятий.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консультирования: по телефону, посредством видео-конференц-связи, на личном приеме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в ходе проведения профилактических мероприятий, контрольных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запросу в форме устных или письменных разъяснений.</w:t>
            </w:r>
            <w:r>
              <w:rPr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запросу в форме устных или письменных разъяснений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запросу в форме устных или письменных разъяснений.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Должностные лица, осуществляющие </w:t>
            </w:r>
            <w:r>
              <w:rPr>
                <w:sz w:val="24"/>
                <w:szCs w:val="24"/>
              </w:rPr>
              <w:t xml:space="preserve">функции </w:t>
            </w:r>
            <w:r>
              <w:rPr>
                <w:sz w:val="24"/>
                <w:szCs w:val="24"/>
              </w:rPr>
              <w:t xml:space="preserve"> контрольного</w:t>
            </w:r>
            <w:r>
              <w:rPr>
                <w:sz w:val="24"/>
                <w:szCs w:val="24"/>
              </w:rPr>
              <w:t xml:space="preserve"> органа.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Профилактический визит</w:t>
            </w:r>
            <w:r>
              <w:rPr>
                <w:sz w:val="24"/>
                <w:szCs w:val="24"/>
              </w:rPr>
            </w:r>
          </w:p>
          <w:p>
            <w:pPr>
              <w:spacing w:before="20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Профилактический визит в форме профилактической беседы по месту осуществления деятельности контролируемого лица либо путем использования видео-конференц-связи </w:t>
            </w:r>
            <w:r>
              <w:rPr>
                <w:sz w:val="24"/>
                <w:szCs w:val="24"/>
              </w:rPr>
            </w:r>
          </w:p>
          <w:p>
            <w:pPr>
              <w:pStyle w:val="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Регулярно, в </w:t>
            </w:r>
            <w:r>
              <w:rPr>
                <w:iCs/>
                <w:sz w:val="24"/>
                <w:szCs w:val="24"/>
              </w:rPr>
              <w:t xml:space="preserve">течение  года</w:t>
            </w:r>
            <w:r>
              <w:rPr>
                <w:iCs/>
                <w:sz w:val="24"/>
                <w:szCs w:val="24"/>
              </w:rPr>
              <w:t xml:space="preserve">, срок профилактического визита не должен превышать 1 день</w:t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Должностные лица, осуществляющие функции </w:t>
            </w:r>
            <w:r>
              <w:rPr>
                <w:sz w:val="24"/>
                <w:szCs w:val="24"/>
              </w:rPr>
              <w:t xml:space="preserve">контрольного органа.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Рекомендации</w:t>
            </w:r>
            <w:r>
              <w:rPr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контролируемому лицу рекомендаций по соблюдению обязательных требований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порядке и сроки, установленные действующим законодательством</w:t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Должностные лица, осуществляющие функции </w:t>
            </w:r>
            <w:r>
              <w:rPr>
                <w:sz w:val="24"/>
                <w:szCs w:val="24"/>
              </w:rPr>
              <w:t xml:space="preserve">контрольного органа.</w:t>
            </w:r>
            <w:r>
              <w:rPr>
                <w:sz w:val="24"/>
                <w:szCs w:val="24"/>
              </w:rPr>
            </w:r>
          </w:p>
        </w:tc>
      </w:tr>
    </w:tbl>
    <w:p>
      <w:pPr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-284" w:firstLine="709"/>
        <w:jc w:val="center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. Показатели результативности и эффективности Программы профилактики на 202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</w:r>
    </w:p>
    <w:p>
      <w:pPr>
        <w:ind w:right="-284" w:firstLine="709"/>
        <w:jc w:val="center"/>
        <w:rPr>
          <w:bCs/>
          <w:sz w:val="28"/>
          <w:szCs w:val="28"/>
        </w:rPr>
        <w:outlineLvl w:val="1"/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7"/>
        <w:gridCol w:w="7938"/>
        <w:gridCol w:w="1560"/>
      </w:tblGrid>
      <w:tr>
        <w:tblPrEx/>
        <w:trPr>
          <w:trHeight w:val="1206"/>
        </w:trPr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ind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№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7938" w:type="dxa"/>
            <w:vAlign w:val="center"/>
            <w:textDirection w:val="lrTb"/>
            <w:noWrap w:val="false"/>
          </w:tcPr>
          <w:p>
            <w:pPr>
              <w:ind w:right="-28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показателя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Целевое значение ключевого показателя, %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rPr>
          <w:sz w:val="2"/>
        </w:rPr>
      </w:pPr>
      <w:r>
        <w:rPr>
          <w:sz w:val="2"/>
        </w:rPr>
      </w:r>
      <w:r>
        <w:rPr>
          <w:sz w:val="2"/>
        </w:rPr>
      </w:r>
    </w:p>
    <w:tbl>
      <w:tblPr>
        <w:tblW w:w="100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7"/>
        <w:gridCol w:w="7938"/>
        <w:gridCol w:w="1559"/>
      </w:tblGrid>
      <w:tr>
        <w:tblPrEx/>
        <w:trPr>
          <w:tblHeader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7938" w:type="dxa"/>
            <w:textDirection w:val="lrTb"/>
            <w:noWrap w:val="false"/>
          </w:tcPr>
          <w:p>
            <w:pPr>
              <w:ind w:right="-28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right="-28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7938" w:type="dxa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Органа муниципального контроля обязательств </w:t>
            </w:r>
            <w:r>
              <w:rPr>
                <w:rFonts w:eastAsia="Calibri"/>
                <w:sz w:val="24"/>
                <w:szCs w:val="24"/>
              </w:rPr>
              <w:t xml:space="preserve">ЕТО в информационно-телекоммуникационной сети «Интернет» в соответствии с </w:t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частью 3 статьи 46 Федерального закона от 31.06.2021 </w:t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№ 248-ФЗ «О государственном контроле (надзоре) и муниципальном контроле в Российской Федерации»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108" w:right="-284" w:firstLine="10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7938" w:type="dxa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Доля устраненных нарушений обязательных требований</w:t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от общего количества выявленных нарушений обязательных требований</w:t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результатам проведения контрольных мероприятий с</w:t>
            </w:r>
            <w:r>
              <w:rPr>
                <w:rFonts w:eastAsia="Calibri"/>
                <w:sz w:val="24"/>
                <w:szCs w:val="24"/>
              </w:rPr>
              <w:t xml:space="preserve">о</w:t>
            </w:r>
            <w:r>
              <w:rPr>
                <w:rFonts w:eastAsia="Calibri"/>
                <w:sz w:val="24"/>
                <w:szCs w:val="24"/>
              </w:rPr>
              <w:t xml:space="preserve"> взаимодействием с контролируемыми лицами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за календарный год (далее – отчетный период)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 менее 80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7938" w:type="dxa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Доля предостережений о недопустимости нарушений обязательных требов</w:t>
            </w:r>
            <w:r>
              <w:rPr>
                <w:rFonts w:eastAsia="Calibri"/>
                <w:sz w:val="24"/>
                <w:szCs w:val="24"/>
              </w:rPr>
              <w:t xml:space="preserve">аний, по которым контролируемыми лицами в установленный срок обеспечено соблюдение обязательных требований, указанных в таком предостережении, от общего числа объявленных предостережений о недопустимости нарушения обязательных требований за отчетный период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не менее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80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7938" w:type="dxa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Доля профилактических мероприятий в объеме контрольных </w:t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мероприятий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не менее 95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7938" w:type="dxa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Доля удовлетворенных возражений контролируемых лиц на предостережения о недопустимости нарушений обязательных требований</w:t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от общего числа поступивших возражений от контролируемых лиц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108" w:right="-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не более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ind w:right="-1" w:firstLine="709"/>
        <w:jc w:val="both"/>
        <w:tabs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" w:firstLine="709"/>
        <w:jc w:val="both"/>
        <w:tabs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рограммы профилактики рассчитывается ежегодно (по итогам календарного года) в течение всего срока реализации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рограммы профилактики по следующей формуле:</w:t>
      </w:r>
      <w:r>
        <w:rPr>
          <w:sz w:val="28"/>
          <w:szCs w:val="28"/>
        </w:rPr>
      </w:r>
    </w:p>
    <w:p>
      <w:pPr>
        <w:pStyle w:val="71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351405" cy="593725"/>
                <wp:effectExtent l="19050" t="0" r="0" b="0"/>
                <wp:docPr id="2" name="Консультант Плю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онсультант Плюс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2351405" cy="593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85.15pt;height:46.75pt;mso-wrap-distance-left:0.00pt;mso-wrap-distance-top:0.00pt;mso-wrap-distance-right:0.00pt;mso-wrap-distance-bottom:0.00pt;" stroked="f" strokeweight="0.75pt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22605" cy="273050"/>
                <wp:effectExtent l="19050" t="0" r="0" b="0"/>
                <wp:docPr id="3" name="Консультант Плю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онсультант Плюс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22605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1.15pt;height:21.50pt;mso-wrap-distance-left:0.00pt;mso-wrap-distance-top:0.00pt;mso-wrap-distance-right:0.00pt;mso-wrap-distance-bottom:0.00pt;" stroked="f" strokeweight="0.75pt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- количество выполненных мероприятий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установленный </w:t>
      </w:r>
      <w:r>
        <w:rPr>
          <w:rFonts w:ascii="Times New Roman" w:hAnsi="Times New Roman" w:cs="Times New Roman"/>
          <w:sz w:val="28"/>
          <w:szCs w:val="28"/>
        </w:rPr>
        <w:t xml:space="preserve"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отчетный</w:t>
      </w:r>
      <w:r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 xml:space="preserve">, ед.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показ</w:t>
      </w:r>
      <w:r>
        <w:rPr>
          <w:rFonts w:ascii="Times New Roman" w:hAnsi="Times New Roman" w:cs="Times New Roman"/>
          <w:sz w:val="28"/>
          <w:szCs w:val="28"/>
        </w:rPr>
        <w:t xml:space="preserve"> - общее количество </w:t>
      </w:r>
      <w:r>
        <w:rPr>
          <w:rFonts w:ascii="Times New Roman" w:hAnsi="Times New Roman" w:cs="Times New Roman"/>
          <w:sz w:val="28"/>
          <w:szCs w:val="28"/>
        </w:rPr>
        <w:t xml:space="preserve">видов мероприятий,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за отчетный период</w:t>
      </w:r>
      <w:r>
        <w:rPr>
          <w:rFonts w:ascii="Times New Roman" w:hAnsi="Times New Roman" w:cs="Times New Roman"/>
          <w:sz w:val="28"/>
          <w:szCs w:val="28"/>
        </w:rPr>
        <w:t xml:space="preserve">, ед.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6"/>
        <w:gridCol w:w="2010"/>
        <w:gridCol w:w="2268"/>
        <w:gridCol w:w="3969"/>
      </w:tblGrid>
      <w:tr>
        <w:tblPrEx/>
        <w:trPr/>
        <w:tc>
          <w:tcPr>
            <w:shd w:val="clear" w:color="auto" w:fill="auto"/>
            <w:tcW w:w="1676" w:type="dxa"/>
            <w:textDirection w:val="lrTb"/>
            <w:noWrap w:val="false"/>
          </w:tcPr>
          <w:p>
            <w:pPr>
              <w:pStyle w:val="710"/>
              <w:ind w:right="-284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Показатель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2010" w:type="dxa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Значение показателя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Уровень реализации программы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Корректировка программы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1676" w:type="dxa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2010" w:type="dxa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1676" w:type="dxa"/>
            <w:vMerge w:val="restart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vertAlign w:val="subscript"/>
                <w:lang w:eastAsia="en-US"/>
              </w:rPr>
              <w:t xml:space="preserve">эффект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2010" w:type="dxa"/>
            <w:textDirection w:val="lrTb"/>
            <w:noWrap w:val="false"/>
          </w:tcPr>
          <w:p>
            <w:pPr>
              <w:pStyle w:val="710"/>
              <w:ind w:right="-284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90 % и более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pStyle w:val="710"/>
              <w:ind w:right="-284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высокий уровень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не требуется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auto"/>
            <w:tcW w:w="1676" w:type="dxa"/>
            <w:vMerge w:val="continue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2010" w:type="dxa"/>
            <w:textDirection w:val="lrTb"/>
            <w:noWrap w:val="false"/>
          </w:tcPr>
          <w:p>
            <w:pPr>
              <w:pStyle w:val="710"/>
              <w:ind w:right="-284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70 – 90 %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pStyle w:val="710"/>
              <w:ind w:right="-284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средний уровень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auto"/>
            <w:tcW w:w="3969" w:type="dxa"/>
            <w:vMerge w:val="restart"/>
            <w:textDirection w:val="lrTb"/>
            <w:noWrap w:val="false"/>
          </w:tcPr>
          <w:p>
            <w:pPr>
              <w:pStyle w:val="710"/>
              <w:ind w:right="-284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требуется в части изменения интенсивности мероприятий и форм профилактических воздействий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1676" w:type="dxa"/>
            <w:vMerge w:val="continue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W w:w="2010" w:type="dxa"/>
            <w:textDirection w:val="lrTb"/>
            <w:noWrap w:val="false"/>
          </w:tcPr>
          <w:p>
            <w:pPr>
              <w:pStyle w:val="710"/>
              <w:ind w:right="-284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Менее 70 %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pStyle w:val="710"/>
              <w:ind w:right="-284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низкий уровень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W w:w="3969" w:type="dxa"/>
            <w:vMerge w:val="continue"/>
            <w:textDirection w:val="lrTb"/>
            <w:noWrap w:val="false"/>
          </w:tcPr>
          <w:p>
            <w:pPr>
              <w:pStyle w:val="710"/>
              <w:ind w:right="-284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</w:tr>
    </w:tbl>
    <w:p>
      <w:pPr>
        <w:pStyle w:val="710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При оценке эффективности реализации Программы профилактики учитыва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тся </w:t>
      </w:r>
      <w:r>
        <w:rPr>
          <w:bCs/>
          <w:sz w:val="28"/>
          <w:szCs w:val="28"/>
        </w:rPr>
        <w:t xml:space="preserve">результативность </w:t>
      </w:r>
      <w:r>
        <w:rPr>
          <w:bCs/>
          <w:sz w:val="28"/>
          <w:szCs w:val="28"/>
        </w:rPr>
        <w:t xml:space="preserve">достижение целевых показателей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</w:r>
    </w:p>
    <w:sectPr>
      <w:footnotePr/>
      <w:endnotePr/>
      <w:type w:val="nextPage"/>
      <w:pgSz w:w="11900" w:h="16820" w:orient="portrait"/>
      <w:pgMar w:top="1134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2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4</w:t>
    </w:r>
    <w:r>
      <w:rPr>
        <w:sz w:val="28"/>
        <w:szCs w:val="28"/>
      </w:rPr>
      <w:fldChar w:fldCharType="end"/>
    </w:r>
    <w:r>
      <w:rPr>
        <w:sz w:val="28"/>
        <w:szCs w:val="28"/>
      </w:rPr>
    </w:r>
  </w:p>
  <w:p>
    <w:pPr>
      <w:pStyle w:val="70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2"/>
      <w:rPr>
        <w:rStyle w:val="701"/>
      </w:rPr>
      <w:framePr w:wrap="around" w:vAnchor="text" w:hAnchor="margin" w:xAlign="center" w:y="1"/>
    </w:pPr>
    <w:r>
      <w:rPr>
        <w:rStyle w:val="701"/>
      </w:rPr>
      <w:fldChar w:fldCharType="begin"/>
    </w:r>
    <w:r>
      <w:rPr>
        <w:rStyle w:val="701"/>
      </w:rPr>
      <w:instrText xml:space="preserve">PAGE  </w:instrText>
    </w:r>
    <w:r>
      <w:rPr>
        <w:rStyle w:val="701"/>
      </w:rPr>
      <w:fldChar w:fldCharType="end"/>
    </w:r>
    <w:r>
      <w:rPr>
        <w:rStyle w:val="701"/>
      </w:rPr>
    </w:r>
  </w:p>
  <w:p>
    <w:pPr>
      <w:pStyle w:val="7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4"/>
    <w:link w:val="69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4"/>
    <w:link w:val="693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4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4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4"/>
    <w:link w:val="702"/>
    <w:uiPriority w:val="99"/>
  </w:style>
  <w:style w:type="character" w:styleId="45">
    <w:name w:val="Footer Char"/>
    <w:basedOn w:val="694"/>
    <w:link w:val="700"/>
    <w:uiPriority w:val="99"/>
  </w:style>
  <w:style w:type="character" w:styleId="47">
    <w:name w:val="Caption Char"/>
    <w:basedOn w:val="697"/>
    <w:link w:val="700"/>
    <w:uiPriority w:val="99"/>
  </w:style>
  <w:style w:type="table" w:styleId="49">
    <w:name w:val="Table Grid Light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4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4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</w:style>
  <w:style w:type="paragraph" w:styleId="692">
    <w:name w:val="Heading 1"/>
    <w:basedOn w:val="691"/>
    <w:next w:val="691"/>
    <w:qFormat/>
    <w:pPr>
      <w:ind w:right="-1" w:firstLine="709"/>
      <w:jc w:val="both"/>
      <w:keepNext/>
      <w:outlineLvl w:val="0"/>
    </w:pPr>
    <w:rPr>
      <w:sz w:val="24"/>
    </w:rPr>
  </w:style>
  <w:style w:type="paragraph" w:styleId="693">
    <w:name w:val="Heading 2"/>
    <w:basedOn w:val="691"/>
    <w:next w:val="691"/>
    <w:link w:val="706"/>
    <w:qFormat/>
    <w:pPr>
      <w:ind w:right="-1"/>
      <w:jc w:val="both"/>
      <w:keepNext/>
      <w:outlineLvl w:val="1"/>
    </w:pPr>
    <w:rPr>
      <w:sz w:val="24"/>
    </w:rPr>
  </w:style>
  <w:style w:type="character" w:styleId="694" w:default="1">
    <w:name w:val="Default Paragraph Font"/>
    <w:uiPriority w:val="1"/>
    <w:semiHidden/>
    <w:unhideWhenUsed/>
  </w:style>
  <w:style w:type="table" w:styleId="6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6" w:default="1">
    <w:name w:val="No List"/>
    <w:uiPriority w:val="99"/>
    <w:semiHidden/>
    <w:unhideWhenUsed/>
  </w:style>
  <w:style w:type="paragraph" w:styleId="697">
    <w:name w:val="Caption"/>
    <w:basedOn w:val="691"/>
    <w:next w:val="691"/>
    <w:qFormat/>
    <w:pPr>
      <w:jc w:val="center"/>
      <w:spacing w:line="360" w:lineRule="exact"/>
      <w:widowControl w:val="off"/>
    </w:pPr>
    <w:rPr>
      <w:b/>
      <w:sz w:val="32"/>
    </w:rPr>
  </w:style>
  <w:style w:type="paragraph" w:styleId="698">
    <w:name w:val="Body Text"/>
    <w:basedOn w:val="691"/>
    <w:link w:val="705"/>
    <w:pPr>
      <w:ind w:right="3117"/>
    </w:pPr>
    <w:rPr>
      <w:rFonts w:ascii="Courier New" w:hAnsi="Courier New"/>
      <w:sz w:val="26"/>
    </w:rPr>
  </w:style>
  <w:style w:type="paragraph" w:styleId="699">
    <w:name w:val="Body Text Indent"/>
    <w:basedOn w:val="691"/>
    <w:pPr>
      <w:ind w:right="-1"/>
      <w:jc w:val="both"/>
    </w:pPr>
    <w:rPr>
      <w:sz w:val="26"/>
    </w:rPr>
  </w:style>
  <w:style w:type="paragraph" w:styleId="700">
    <w:name w:val="Footer"/>
    <w:basedOn w:val="691"/>
    <w:pPr>
      <w:tabs>
        <w:tab w:val="center" w:pos="4153" w:leader="none"/>
        <w:tab w:val="right" w:pos="8306" w:leader="none"/>
      </w:tabs>
    </w:pPr>
  </w:style>
  <w:style w:type="character" w:styleId="701">
    <w:name w:val="page number"/>
    <w:basedOn w:val="694"/>
  </w:style>
  <w:style w:type="paragraph" w:styleId="702">
    <w:name w:val="Header"/>
    <w:basedOn w:val="691"/>
    <w:link w:val="708"/>
    <w:uiPriority w:val="99"/>
    <w:pPr>
      <w:tabs>
        <w:tab w:val="center" w:pos="4153" w:leader="none"/>
        <w:tab w:val="right" w:pos="8306" w:leader="none"/>
      </w:tabs>
    </w:pPr>
  </w:style>
  <w:style w:type="paragraph" w:styleId="703">
    <w:name w:val="Balloon Text"/>
    <w:basedOn w:val="691"/>
    <w:link w:val="704"/>
    <w:rPr>
      <w:rFonts w:ascii="Segoe UI" w:hAnsi="Segoe UI" w:cs="Segoe UI"/>
      <w:sz w:val="18"/>
      <w:szCs w:val="18"/>
    </w:rPr>
  </w:style>
  <w:style w:type="character" w:styleId="704" w:customStyle="1">
    <w:name w:val="Текст выноски Знак"/>
    <w:link w:val="703"/>
    <w:rPr>
      <w:rFonts w:ascii="Segoe UI" w:hAnsi="Segoe UI" w:cs="Segoe UI"/>
      <w:sz w:val="18"/>
      <w:szCs w:val="18"/>
    </w:rPr>
  </w:style>
  <w:style w:type="character" w:styleId="705" w:customStyle="1">
    <w:name w:val="Основной текст Знак"/>
    <w:link w:val="698"/>
    <w:rPr>
      <w:rFonts w:ascii="Courier New" w:hAnsi="Courier New"/>
      <w:sz w:val="26"/>
    </w:rPr>
  </w:style>
  <w:style w:type="character" w:styleId="706" w:customStyle="1">
    <w:name w:val="Заголовок 2 Знак"/>
    <w:link w:val="693"/>
    <w:rPr>
      <w:sz w:val="24"/>
    </w:rPr>
  </w:style>
  <w:style w:type="character" w:styleId="707">
    <w:name w:val="Hyperlink"/>
    <w:uiPriority w:val="99"/>
    <w:unhideWhenUsed/>
    <w:rPr>
      <w:color w:val="0000ff"/>
      <w:u w:val="single"/>
    </w:rPr>
  </w:style>
  <w:style w:type="character" w:styleId="708" w:customStyle="1">
    <w:name w:val="Верхний колонтитул Знак"/>
    <w:link w:val="702"/>
    <w:uiPriority w:val="99"/>
  </w:style>
  <w:style w:type="table" w:styleId="709">
    <w:name w:val="Table Grid"/>
    <w:basedOn w:val="69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0" w:customStyle="1">
    <w:name w:val="ConsPlusNormal"/>
    <w:pPr>
      <w:widowControl w:val="off"/>
    </w:pPr>
    <w:rPr>
      <w:rFonts w:ascii="Calibri" w:hAnsi="Calibri" w:cs="Calibri"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hyperlink" Target="consultantplus://offline/ref=1339C4A77E288CCA26C287BECC2CA1CDA761A1342048E366F94624F8FCFB8DEAFB9BF4D552DFB3FF9B97BA96C9a9u5E" TargetMode="External"/><Relationship Id="rId13" Type="http://schemas.openxmlformats.org/officeDocument/2006/relationships/hyperlink" Target="consultantplus://offline/ref=1339C4A77E288CCA26C287BECC2CA1CDA761A1342048E366F94624F8FCFB8DEAE99BACD952D8ABF89B82ECC78FC34D4BE10696957C1A7E24a7uBE" TargetMode="External"/><Relationship Id="rId14" Type="http://schemas.openxmlformats.org/officeDocument/2006/relationships/image" Target="media/image2.wmf"/><Relationship Id="rId15" Type="http://schemas.openxmlformats.org/officeDocument/2006/relationships/image" Target="media/image3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Администрация г. 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revision>10</cp:revision>
  <dcterms:created xsi:type="dcterms:W3CDTF">2023-09-18T10:40:00Z</dcterms:created>
  <dcterms:modified xsi:type="dcterms:W3CDTF">2024-09-24T05:32:57Z</dcterms:modified>
</cp:coreProperties>
</file>