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ПЕРМСКАЯ ГОРОДСКАЯ ДУМА</w:t>
        <w:br/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 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РЕШЕНИЕ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от 21 декабря 2021 г. N 320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 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 МУНИЦИПАЛЬНОМ КОНТРОЛЕ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 АВТОМОБИЛЬНОМ ТРАНСПОРТЕ, ГОРОДСКОМ НАЗЕМНОМ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ЭЛЕКТРИЧЕСКОМ ТРАНСПОРТЕ И В ДОРОЖНОМ ХОЗЯЙСТВЕ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ГРАНИЦАХ ГОРОДА ПЕРМИ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left="0" w:right="0" w:firstLine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68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blPrEx/>
        <w:tc>
          <w:tcPr>
            <w:tcW w:w="935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 ред. решений Пермской городской Думы от 22.02.2022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32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от 24.05.2022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118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, от 25.06.2024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112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, от 25.02.2025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30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от 24.04.2025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72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, от 23.06.2026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N 112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I.</w:t>
      </w:r>
      <w:r>
        <w:rPr>
          <w:rFonts w:ascii="Times New Roman" w:hAnsi="Times New Roman" w:eastAsia="Times New Roman" w:cs="Times New Roman"/>
          <w:color w:val="000000"/>
          <w:sz w:val="36"/>
          <w:szCs w:val="36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Управление рисками причинения вреда (ущерба) охраняемым</w:t>
        <w:br/>
        <w:t xml:space="preserve">        законом ценностям при осуществлении Муниципального контроля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Style w:val="68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blPrEx/>
        <w:tc>
          <w:tcPr>
            <w:tcW w:w="935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spacing w:before="0" w:after="0" w:line="57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(введен </w:t>
            </w:r>
            <w:r>
              <w:rPr>
                <w:rFonts w:ascii="Times New Roman" w:hAnsi="Times New Roman" w:eastAsia="Times New Roman" w:cs="Times New Roman"/>
                <w:color w:val="0000ff"/>
                <w:sz w:val="28"/>
                <w:szCs w:val="28"/>
                <w:u w:val="none"/>
              </w:rPr>
              <w:t xml:space="preserve">решением</w:t>
            </w: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 Пермской городской Думы от 24.04.2025 N 72)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vertAlign w:val="superscript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Орган контроля при осуществлении Муниципального контроля относит объекты Муниципального контроля к одной из следующих категорий риска причинения вреда (ущерба) (далее - категория риска):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средний риск,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умеренный риск,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низкий риск.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Отнесение объекта Муниципального контроля к одной из предусмотренных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пунктом 1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настоящего Положения категорий риска осуществляется Органом  контроля путем сопоставления его характеристик со следующими критериями отнесения объектов  Муниципального контроля к категориям риска: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.2.1. к категории среднего риска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деятельность контролируемого лица, при которой в течение года, предшествующего дате отнесения Органом контроля объекта Муниципального контроля к категории риска, имеется неисполненное в срок предписание об устранении выявленных нар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ушений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2. к категории  умеренного  риска - деятельность контролируемого лица, при которой в течение года, предшествующего дате отнесения Органом контроля объекта Муниципального контроля к категории риска, им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еется исполненное предписание об устранении выявленных нарушений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3. к категории низкого риска - отсутствие оснований, предусмотренных для категорий среднего и умеренного риска.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3. В случае 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сли объект Муниципального контроля не отнесен  Органом контроля к определенной категории риска, он считается отнесенным к категории низкого риска.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.4. Орган контроля при сборе, обработке, анализе и учете сведений об объектах Муниципально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 контроля для целей их учета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5. Орган контр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оля относит объекты Муниципального контроля к одной из категорий риска в порядке, определенном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статьей 24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Федерального закона о контроле. Решение об отнесении объектов Муниципального контроля к категориям риска (изменении категории риска) принимается путем подписания руководителем Органа контроля соответствующих сведений в едином реестре видов 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услуг), вправе подать в Орган контро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ля заявление об изменении категории риска осуществляемой им деятельности либо категории риска принадлежащих ему (используемых им) иных объектов Муниципального контроля в случае их соответствия критериям риска для отнесения к иной категории риска.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blPrEx/>
        <w:tc>
          <w:tcPr>
            <w:tcW w:w="935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88" w:lineRule="atLeast"/>
              <w:ind w:left="0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(в ред. </w:t>
            </w:r>
            <w:r>
              <w:rPr>
                <w:rFonts w:ascii="Times New Roman" w:hAnsi="Times New Roman" w:eastAsia="Times New Roman" w:cs="Times New Roman"/>
                <w:color w:val="0000ff"/>
                <w:sz w:val="28"/>
                <w:szCs w:val="28"/>
                <w:u w:val="none"/>
              </w:rPr>
              <w:t xml:space="preserve">решения</w:t>
            </w: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 Пермской городской Думы от 23.06.2026 N 112)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68" w:after="0" w:line="288" w:lineRule="atLeast"/>
        <w:ind w:left="0"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Объект Муниципального контроля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blPrEx/>
        <w:tc>
          <w:tcPr>
            <w:tcW w:w="935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88" w:lineRule="atLeast"/>
              <w:ind w:left="0"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(абзац введен </w:t>
            </w:r>
            <w:r>
              <w:rPr>
                <w:rFonts w:ascii="Times New Roman" w:hAnsi="Times New Roman" w:eastAsia="Times New Roman" w:cs="Times New Roman"/>
                <w:color w:val="0000ff"/>
                <w:sz w:val="28"/>
                <w:szCs w:val="28"/>
                <w:u w:val="none"/>
              </w:rPr>
              <w:t xml:space="preserve">решением</w:t>
            </w:r>
            <w:r>
              <w:rPr>
                <w:rFonts w:ascii="Times New Roman" w:hAnsi="Times New Roman" w:eastAsia="Times New Roman" w:cs="Times New Roman"/>
                <w:color w:val="828282"/>
                <w:sz w:val="28"/>
                <w:szCs w:val="28"/>
              </w:rPr>
              <w:t xml:space="preserve"> Пермской городской Думы от 23.06.2026 N 112)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6. Плановые контрольные мероприятия при осуществлении Муниципального контроля не проводятся.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.7. Обязательные профилактические визиты в отношении  объектов Муниципального контроля в зависимости от присвоенной категории 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иска проводятся со следующей периодичностью: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отношении объектов Муниципального контроля, отнесенных к категории среднего или умеренного риска, периодичность проведения обязательных профилактических визитов определяется Правительством Российской Федерации,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68" w:after="0" w:line="288" w:lineRule="atLeast"/>
        <w:ind w:left="0" w:right="0" w:firstLine="54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отношении объектов Муниципального контроля, отнесенных к категории низкого риска, обязательные профилактические визиты не проводятся.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68" w:after="0" w:line="288" w:lineRule="atLeast"/>
        <w:ind w:left="0" w:right="0" w:firstLine="540"/>
        <w:jc w:val="both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Courier New" w:hAnsi="Courier New" w:eastAsia="Courier New" w:cs="Courier New"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 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целях оценки риска причинения вреда (ущерба) охраняемым законом ценностям при принятии решения о проведении и выборе вида внепланового контрольного мероприятия Орган контроля применяет индикаторы риска в соответствии 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перечнем индикаторов риска нарушения обязательных требований, используемых при осуществлении  Муниципального контроля, утверждаемым правовым актом Пермской городской Думы.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68" w:after="0" w:line="288" w:lineRule="atLeast"/>
        <w:ind w:left="0"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Приложение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решению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Пермской городской Думы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right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21.12.2021 N 320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ПЕРЕЧЕНЬ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ИНДИКАТОРОВ РИСКА НАРУШЕНИЯ ОБЯЗАТЕЛЬНЫХ ТРЕБОВАНИЙ,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ИСПОЛЬЗУЕМЫХ ПРИ ОСУЩЕСТВЛЕНИИ МУНИЦИПАЛЬНОГО КОНТРОЛЯ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НА АВТОМОБИЛЬНОМ ТРАНСПОРТЕ, ГОРОДСКОМ НАЗЕМНОМ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ЭЛЕКТРИЧЕСКОМ ТРАНСПОРТЕ И В ДОРОЖНОМ ХОЗЯЙСТВЕ В ГРАНИЦАХ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74" w:lineRule="atLeast"/>
        <w:ind w:left="0" w:right="0" w:firstLine="0"/>
        <w:jc w:val="center"/>
      </w:pPr>
      <w:r>
        <w:rPr>
          <w:rFonts w:ascii="Arial" w:hAnsi="Arial" w:eastAsia="Arial" w:cs="Arial"/>
          <w:b/>
          <w:color w:val="000000"/>
          <w:sz w:val="24"/>
        </w:rPr>
        <w:t xml:space="preserve">ГОРОДА ПЕРМИ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left="0" w:right="0" w:firstLine="0"/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</w:p>
    <w:tbl>
      <w:tblPr>
        <w:tblStyle w:val="68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blPrEx/>
        <w:tc>
          <w:tcPr>
            <w:tcW w:w="935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cMar>
              <w:left w:w="15" w:type="dxa"/>
              <w:top w:w="15" w:type="dxa"/>
              <w:right w:w="15" w:type="dxa"/>
              <w:bottom w:w="15" w:type="dxa"/>
            </w:tcMar>
            <w:textDirection w:val="lrTb"/>
            <w:vAlign w:val="center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/>
              <w:ind w:left="0" w:right="0" w:firstLine="0"/>
              <w:jc w:val="center"/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(введен 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u w:val="none"/>
              </w:rPr>
              <w:t xml:space="preserve">решением</w:t>
            </w: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 Пермской городской Думы от 23.06.2026 N 112)</w:t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0"/>
        <w:jc w:val="both"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88" w:lineRule="atLeast"/>
        <w:ind w:left="0" w:right="0" w:firstLine="54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целях оценки риска причинения вреда (ущерба) охраняемым законом ценностям устанавливается следующий индикатор риска нарушения обязательных требований, соответствие которому является основанием для проведения внепланового контрольного мероприятия, предусм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атривающего взаимодействие с контролируемым лицом: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68" w:after="0" w:line="288" w:lineRule="atLeast"/>
        <w:ind w:left="0" w:right="0" w:firstLine="54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контрольного органа муниципального кон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троля на автомобильном транспорте, городском наземном электрическом транспорте и в дорожном хозяйстве в границах города Перми от граждан (поступивших способом, позволяющим установить личность обратившегося гражданина) или организаций, информации от органов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государственной власти, органов местного самоуправления, из средств массовой информации, информационно-телекоммуникационной сети Интернет, государственных информационных систем о фактах нарушений контролируемыми лицами обязательных требований.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ind w:left="720"/>
      <w:contextualSpacing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novikova-es</cp:lastModifiedBy>
  <cp:revision>2</cp:revision>
  <dcterms:modified xsi:type="dcterms:W3CDTF">2026-07-07T11:54:29Z</dcterms:modified>
</cp:coreProperties>
</file>