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5" w:right="0" w:firstLine="0"/>
        <w:spacing w:line="72" w:lineRule="atLeast"/>
        <w:shd w:val="clear" w:color="e8e8e8" w:fill="e8e8e8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eastAsia="Segoe UI" w:cs="Segoe UI"/>
          <w:color w:val="000000"/>
          <w:spacing w:val="-4"/>
          <w:sz w:val="23"/>
        </w:rPr>
        <w:t xml:space="preserve">Решение Пермской городской Думы от 21.12.2021 N 320 (ред. от 25.02.2025) "О муниципальном контроле на автомобильном транспорте, городском наземном электрическом транспорте и в дорожном хозяйстве в границах города Перми"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3.4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В  целях оценки риска причинения вреда (ущерба) охраняемым законом ценностям устанавливается следующий индикатор риска нарушения обязательных требований, соответствие которому является основанием для проведения внепланового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контрольного мероприятия, предусматривающего взаимодействие с контролируемым лицом: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контроля от граждан (поступивши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твенных информационных систем о фактах нарушений контролируемыми лицами обязательных требований.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2025-04-03T07:02:35Z</dcterms:modified>
</cp:coreProperties>
</file>