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Сведения о группе (группах) должностей муниципальной службы, которые подлежат замещению гражданами после </w:t>
      </w:r>
      <w:r>
        <w:rPr>
          <w:b/>
          <w:color w:val="000000"/>
          <w:sz w:val="24"/>
          <w:szCs w:val="24"/>
        </w:rPr>
        <w:t xml:space="preserve">окончания обучения, квалификационные требования для замещения должностей муниципальной службы (требования к уровню профессионального образования, знаниям и умениям, необходимым для исполнения должностных обязанностей, специальности, направлению подготовки)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both"/>
        <w:rPr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Style w:val="894"/>
        <w:tblW w:w="15296" w:type="dxa"/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270"/>
        <w:gridCol w:w="3413"/>
        <w:gridCol w:w="3413"/>
        <w:gridCol w:w="3517"/>
      </w:tblGrid>
      <w:tr>
        <w:tblPrEx/>
        <w:trPr/>
        <w:tc>
          <w:tcPr>
            <w:tcW w:w="556" w:type="dxa"/>
            <w:vMerge w:val="restart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Функциональный, территориальный орган, функциональное подразделений администрации </w:t>
            </w:r>
            <w:r>
              <w:rPr>
                <w:sz w:val="22"/>
                <w:szCs w:val="22"/>
                <w:lang w:val="ru-RU"/>
              </w:rPr>
              <w:br/>
              <w:t xml:space="preserve">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vMerge w:val="restart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Группы должностей муниципальной службы</w:t>
            </w:r>
            <w:r>
              <w:rPr>
                <w:sz w:val="22"/>
                <w:szCs w:val="22"/>
                <w:lang w:val="ru-RU"/>
              </w:rPr>
              <w:t xml:space="preserve">, которые подлежат замещению гражданами после окончания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0344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Квалификационные требования для замещения должностей муниципальной службы (требования к уровню профессионального образования, знаниям 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 умениям, необходимым для исполнения должностных обязанностей, специальности, направлению подготовки)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dxa"/>
            <w:vMerge w:val="continue"/>
            <w:textDirection w:val="lrTb"/>
            <w:noWrap w:val="false"/>
          </w:tcPr>
          <w:p>
            <w:pPr>
              <w:pStyle w:val="105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pStyle w:val="105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2270" w:type="dxa"/>
            <w:vMerge w:val="continue"/>
            <w:textDirection w:val="lrTb"/>
            <w:noWrap w:val="false"/>
          </w:tcPr>
          <w:p>
            <w:pPr>
              <w:pStyle w:val="1051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уровню профессионального образования, стажу</w:t>
            </w:r>
            <w:r>
              <w:rPr>
                <w:sz w:val="22"/>
                <w:szCs w:val="22"/>
                <w:vertAlign w:val="superscript"/>
                <w:lang w:val="ru-RU"/>
              </w:rPr>
              <w:t xml:space="preserve">1</w:t>
            </w:r>
            <w:r>
              <w:rPr>
                <w:rStyle w:val="1022"/>
                <w:color w:val="ffffff" w:themeColor="background1"/>
                <w:sz w:val="22"/>
                <w:szCs w:val="22"/>
                <w:lang w:val="ru-RU"/>
              </w:rPr>
              <w:footnoteReference w:id="2"/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1051"/>
              <w:jc w:val="center"/>
              <w:rPr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Требования к знаниям </w:t>
              <w:br/>
              <w:t xml:space="preserve">и умениям</w:t>
            </w:r>
            <w:r>
              <w:rPr>
                <w:sz w:val="22"/>
                <w:szCs w:val="22"/>
                <w:vertAlign w:val="superscript"/>
                <w:lang w:val="ru-RU"/>
              </w:rPr>
              <w:t xml:space="preserve">1</w:t>
            </w:r>
            <w:r>
              <w:rPr>
                <w:rStyle w:val="1022"/>
                <w:color w:val="ffffff" w:themeColor="background1"/>
                <w:sz w:val="22"/>
                <w:szCs w:val="22"/>
                <w:lang w:val="ru-RU"/>
              </w:rPr>
              <w:footnoteReference w:id="3"/>
            </w:r>
            <w:r>
              <w:rPr>
                <w:color w:val="ffffff" w:themeColor="background1"/>
                <w:sz w:val="22"/>
                <w:szCs w:val="22"/>
                <w:vertAlign w:val="superscript"/>
              </w:rPr>
            </w:r>
            <w:r>
              <w:rPr>
                <w:color w:val="ffffff" w:themeColor="background1"/>
                <w:sz w:val="22"/>
                <w:szCs w:val="22"/>
                <w:vertAlign w:val="superscript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pStyle w:val="1051"/>
              <w:jc w:val="center"/>
              <w:rPr>
                <w:color w:val="ffffff" w:themeColor="background1"/>
                <w:sz w:val="22"/>
                <w:szCs w:val="22"/>
                <w:highlight w:val="none"/>
                <w:vertAlign w:val="superscript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</w:t>
            </w:r>
            <w:r>
              <w:rPr>
                <w:sz w:val="22"/>
                <w:szCs w:val="22"/>
                <w:highlight w:val="none"/>
                <w:vertAlign w:val="superscript"/>
              </w:rPr>
              <w:t xml:space="preserve">2</w:t>
            </w:r>
            <w:r>
              <w:rPr>
                <w:rStyle w:val="1022"/>
                <w:color w:val="ffffff" w:themeColor="background1"/>
                <w:sz w:val="22"/>
                <w:szCs w:val="22"/>
                <w:highlight w:val="none"/>
                <w:vertAlign w:val="superscript"/>
              </w:rPr>
              <w:footnoteReference w:id="4"/>
            </w:r>
            <w:r>
              <w:rPr>
                <w:color w:val="ffffff" w:themeColor="background1"/>
                <w:sz w:val="22"/>
                <w:szCs w:val="22"/>
                <w:highlight w:val="none"/>
                <w:vertAlign w:val="superscript"/>
              </w:rPr>
            </w:r>
            <w:r>
              <w:rPr>
                <w:color w:val="ffffff" w:themeColor="background1"/>
                <w:sz w:val="22"/>
                <w:szCs w:val="22"/>
                <w:highlight w:val="none"/>
                <w:vertAlign w:val="superscript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2"/>
          <w:szCs w:val="2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94"/>
        <w:tblW w:w="15296" w:type="dxa"/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272"/>
        <w:gridCol w:w="3409"/>
        <w:gridCol w:w="3409"/>
        <w:gridCol w:w="3525"/>
      </w:tblGrid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1051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(д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епартамент градостроительства </w:t>
              <w:br/>
              <w:t xml:space="preserve">и архитектуры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Ведущая группа должностей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.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360" w:right="0" w:firstLine="0"/>
              <w:jc w:val="left"/>
              <w:spacing w:before="0" w:after="0"/>
              <w:rPr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1"/>
              </w:numPr>
              <w:ind w:left="360" w:right="0"/>
              <w:jc w:val="left"/>
              <w:spacing w:before="0" w:after="0"/>
              <w:rPr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Старшая группа должност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Для ведущей группы должностей:</w:t>
            </w:r>
            <w:r>
              <w:rPr>
                <w:sz w:val="22"/>
                <w:szCs w:val="22"/>
                <w:lang w:val="ru-RU"/>
              </w:rPr>
              <w:t xml:space="preserve"> наличие высшего образования без предъявления требований к стажу или наличие среднего профессионального образования со стажем муниципальной </w:t>
            </w:r>
            <w:r>
              <w:rPr>
                <w:sz w:val="22"/>
                <w:szCs w:val="22"/>
                <w:lang w:val="ru-RU"/>
              </w:rPr>
              <w:t xml:space="preserve">службы не менее трех лет </w:t>
            </w:r>
            <w:r>
              <w:rPr>
                <w:sz w:val="22"/>
                <w:szCs w:val="22"/>
                <w:lang w:val="ru-RU"/>
              </w:rPr>
              <w:t xml:space="preserve">или стажем работы 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5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051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Для старшей группы</w:t>
            </w:r>
            <w:r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требований </w:t>
              <w:br/>
              <w:t xml:space="preserve">к стажу или нали</w:t>
            </w:r>
            <w:r>
              <w:rPr>
                <w:sz w:val="22"/>
                <w:szCs w:val="22"/>
                <w:lang w:val="ru-RU"/>
              </w:rPr>
              <w:t xml:space="preserve">чие среднего 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 со стажем муниципальной службы не менее</w:t>
            </w:r>
            <w:r>
              <w:rPr>
                <w:sz w:val="22"/>
                <w:szCs w:val="22"/>
                <w:lang w:val="ru-RU"/>
              </w:rPr>
              <w:t xml:space="preserve"> одного года или </w:t>
            </w:r>
            <w:r>
              <w:rPr>
                <w:sz w:val="22"/>
                <w:szCs w:val="22"/>
                <w:lang w:val="ru-RU"/>
              </w:rPr>
              <w:t xml:space="preserve">стажем работы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по специальности, направлению подготовки не менее трех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restart"/>
            <w:textDirection w:val="lrTb"/>
            <w:noWrap w:val="false"/>
          </w:tcPr>
          <w:p>
            <w:pPr>
              <w:pStyle w:val="880"/>
              <w:numPr>
                <w:ilvl w:val="0"/>
                <w:numId w:val="5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Знание государственного языка Российской Федерации (русского языка);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5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знание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 основ делопроизводства и документооборота;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5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знания и умения в области информационно-коммуникационны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х технологий;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5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правовые знания основ федерального законодательства о местном самоуправлении, муниципальной службе, противодействии коррупции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1. 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Архитектура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2.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Техника и технологии строительства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3. 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4. «Прикладная геология, горное дело, нефтегазовое дело </w:t>
              <w:br/>
              <w:t xml:space="preserve">и геодезия»;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5.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«Сельское, лесное и рыбное хозяй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ство»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6.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«Информатика и вычислительная техника»;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/>
          </w:p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7. «Информационная безопасность»;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8. «Политические науки и регионоведение»</w:t>
            </w:r>
            <w:r>
              <w:rPr>
                <w:sz w:val="20"/>
                <w:szCs w:val="20"/>
                <w:highlight w:val="none"/>
                <w:lang w:val="ru-RU"/>
                <w14:ligatures w14:val="none"/>
              </w:rPr>
            </w:r>
            <w:r>
              <w:rPr>
                <w:sz w:val="20"/>
                <w:szCs w:val="20"/>
                <w:highlight w:val="none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1051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(департамент дорог </w:t>
              <w:br/>
              <w:t xml:space="preserve">и благоустройства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бов</w:t>
            </w:r>
            <w:r>
              <w:rPr>
                <w:sz w:val="22"/>
                <w:szCs w:val="22"/>
                <w:lang w:val="ru-RU"/>
              </w:rPr>
              <w:t xml:space="preserve">аний </w:t>
              <w:br/>
              <w:t xml:space="preserve">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1051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Техника и технологии строительства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«Электро- и теплоэнергетика»;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«Техносферная безопасность </w:t>
              <w:br/>
              <w:t xml:space="preserve">и природообустройство»;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«Прикладная геология, горное дело, нефтегазовое дело </w:t>
              <w:br/>
              <w:t xml:space="preserve">и геодезия»;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«Политические науки и регионоведение»;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«Информатика и вычислительная техника»;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/>
          </w:p>
          <w:p>
            <w:pPr>
              <w:pStyle w:val="880"/>
              <w:numPr>
                <w:ilvl w:val="0"/>
                <w:numId w:val="2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«Информационная безопасность»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(департамент земельных </w:t>
            </w:r>
            <w:r>
              <w:rPr>
                <w:sz w:val="22"/>
                <w:szCs w:val="22"/>
                <w:lang w:val="ru-RU"/>
              </w:rPr>
              <w:t xml:space="preserve">отношений)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</w:t>
            </w:r>
            <w:r>
              <w:rPr>
                <w:sz w:val="22"/>
                <w:szCs w:val="22"/>
                <w:lang w:val="ru-RU"/>
              </w:rPr>
              <w:t xml:space="preserve">ваний 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0"/>
              <w:numPr>
                <w:ilvl w:val="0"/>
                <w:numId w:val="3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3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«Прикладная геология, горное дело, нефтегазовое дело </w:t>
              <w:br/>
              <w:t xml:space="preserve">и геодезия»;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3"/>
              </w:numPr>
              <w:ind w:left="360" w:right="0"/>
              <w:jc w:val="lef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«Информатика и вычислительная техника»;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/>
          </w:p>
          <w:p>
            <w:pPr>
              <w:pStyle w:val="880"/>
              <w:numPr>
                <w:ilvl w:val="0"/>
                <w:numId w:val="3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«Информационная безопасность»;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80"/>
              <w:numPr>
                <w:ilvl w:val="0"/>
                <w:numId w:val="3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«Политические науки и регионоведение»</w:t>
            </w:r>
            <w:r>
              <w:rPr>
                <w:sz w:val="20"/>
                <w:szCs w:val="20"/>
                <w:highlight w:val="white"/>
                <w:lang w:val="ru-RU"/>
                <w14:ligatures w14:val="none"/>
              </w:rPr>
            </w:r>
            <w:r>
              <w:rPr>
                <w:sz w:val="20"/>
                <w:szCs w:val="20"/>
                <w:highlight w:val="white"/>
                <w:lang w:val="ru-RU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(администрация </w:t>
            </w:r>
            <w:r>
              <w:rPr>
                <w:sz w:val="22"/>
                <w:szCs w:val="22"/>
                <w:lang w:val="ru-RU"/>
              </w:rPr>
              <w:br/>
              <w:t xml:space="preserve">Мотовилихинского района </w:t>
            </w:r>
            <w:r>
              <w:rPr>
                <w:sz w:val="22"/>
                <w:szCs w:val="22"/>
                <w:lang w:val="ru-RU"/>
              </w:rPr>
              <w:t xml:space="preserve">города Перми)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бов</w:t>
            </w:r>
            <w:r>
              <w:rPr>
                <w:sz w:val="22"/>
                <w:szCs w:val="22"/>
                <w:lang w:val="ru-RU"/>
              </w:rPr>
              <w:t xml:space="preserve">аний </w:t>
              <w:br/>
              <w:t xml:space="preserve">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1051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Архитектура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Техника и технологии строительства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«Прикладная геология, горное дело, нефтегазовое дело </w:t>
              <w:br/>
              <w:t xml:space="preserve">и геодезия»;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«Экономика и управление»;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«Сельское, лесное и рыбное хозяйство»;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«Юриспруденция»;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«Политические науки и регионоведение»;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«Информатика и вычислительная техника»;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/>
          </w:p>
          <w:p>
            <w:pPr>
              <w:pStyle w:val="880"/>
              <w:numPr>
                <w:ilvl w:val="0"/>
                <w:numId w:val="6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«Информационная безопасность»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</w:t>
              <w:br/>
              <w:t xml:space="preserve">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1051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(правовое управление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требований </w:t>
              <w:br/>
              <w:t xml:space="preserve">к стажу или наличие среднего 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высшего образования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  <w:lang w:val="ru-RU"/>
              </w:rPr>
              <w:t xml:space="preserve">Юриспруденция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5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051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1051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(хозяйственное управление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105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бов</w:t>
            </w:r>
            <w:r>
              <w:rPr>
                <w:sz w:val="22"/>
                <w:szCs w:val="22"/>
                <w:lang w:val="ru-RU"/>
              </w:rPr>
              <w:t xml:space="preserve">аний </w:t>
              <w:br/>
              <w:t xml:space="preserve">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1051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1051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  <w:lang w:val="ru-RU"/>
              </w:rPr>
              <w:t xml:space="preserve">Юриспруденция</w:t>
            </w:r>
            <w:r>
              <w:rPr>
                <w:sz w:val="22"/>
                <w:szCs w:val="22"/>
              </w:rPr>
              <w:t xml:space="preserve">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051"/>
              <w:numPr>
                <w:ilvl w:val="0"/>
                <w:numId w:val="4"/>
              </w:numPr>
              <w:ind w:left="36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«Экономика и управление»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0"/>
        <w:jc w:val="both"/>
        <w:spacing w:line="360" w:lineRule="auto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418" w:right="1134" w:bottom="567" w:left="1134" w:header="284" w:footer="68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20"/>
        <w:spacing w:after="0" w:afterAutospacing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  <w:vertAlign w:val="baseline"/>
        </w:rPr>
        <w:t xml:space="preserve">П</w:t>
      </w:r>
      <w:r>
        <w:rPr>
          <w:sz w:val="20"/>
          <w:szCs w:val="20"/>
        </w:rPr>
        <w:t xml:space="preserve">остановление администрации города Перми от 09 марта 2017 г. </w:t>
      </w:r>
      <w:r>
        <w:rPr>
          <w:sz w:val="20"/>
          <w:szCs w:val="20"/>
        </w:rPr>
        <w:t xml:space="preserve">№</w:t>
      </w:r>
      <w:r>
        <w:rPr>
          <w:sz w:val="20"/>
          <w:szCs w:val="20"/>
        </w:rPr>
        <w:t xml:space="preserve"> 167 </w:t>
      </w:r>
      <w:r>
        <w:rPr>
          <w:sz w:val="20"/>
          <w:szCs w:val="20"/>
        </w:rPr>
        <w:t xml:space="preserve">«</w:t>
      </w:r>
      <w:r>
        <w:rPr>
          <w:sz w:val="20"/>
          <w:szCs w:val="20"/>
        </w:rPr>
        <w:t xml:space="preserve">Об утверждении квалификационных требований для замещения должностей муниципальной службы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администрации города Перми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020"/>
        <w:spacing w:after="0" w:afterAutospacing="0" w:line="240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vertAlign w:val="superscript"/>
        </w:rPr>
        <w:t xml:space="preserve">2 </w:t>
      </w:r>
      <w:r>
        <w:rPr>
          <w:sz w:val="20"/>
          <w:szCs w:val="20"/>
          <w:highlight w:val="none"/>
          <w:vertAlign w:val="baseline"/>
        </w:rPr>
        <w:t xml:space="preserve">Специальности и направления подготовки объединенные в у</w:t>
      </w:r>
      <w:r>
        <w:rPr>
          <w:sz w:val="20"/>
          <w:szCs w:val="20"/>
          <w:vertAlign w:val="baseline"/>
        </w:rPr>
        <w:t xml:space="preserve">крупненные группы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ОК 009-2016. Общероссийский классификатор специальностей по образованию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</w:footnote>
  <w:footnote w:id="4">
    <w:p>
      <w:pPr>
        <w:pStyle w:val="1020"/>
        <w:spacing w:after="0" w:afterAutospacing="0" w:line="240" w:lineRule="auto"/>
        <w:rPr>
          <w:sz w:val="20"/>
          <w:szCs w:val="20"/>
          <w:highlight w:val="none"/>
          <w:vertAlign w:val="baseline"/>
        </w:rPr>
      </w:pPr>
      <w:r>
        <w:rPr>
          <w:sz w:val="20"/>
          <w:szCs w:val="20"/>
          <w:highlight w:val="none"/>
          <w:vertAlign w:val="baseline"/>
        </w:rPr>
      </w:r>
      <w:r>
        <w:rPr>
          <w:sz w:val="20"/>
          <w:szCs w:val="20"/>
          <w:highlight w:val="none"/>
          <w:vertAlign w:val="baseline"/>
        </w:rPr>
      </w:r>
      <w:r>
        <w:rPr>
          <w:sz w:val="20"/>
          <w:szCs w:val="20"/>
          <w:highlight w:val="none"/>
          <w:vertAlign w:val="baseli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rPr>
        <w:rStyle w:val="1047"/>
      </w:rPr>
      <w:framePr w:wrap="around" w:vAnchor="text" w:hAnchor="margin" w:xAlign="center" w:y="1"/>
    </w:pPr>
    <w:r>
      <w:rPr>
        <w:rStyle w:val="1047"/>
      </w:rPr>
      <w:fldChar w:fldCharType="begin"/>
    </w:r>
    <w:r>
      <w:rPr>
        <w:rStyle w:val="1047"/>
      </w:rPr>
      <w:instrText xml:space="preserve">PAGE  </w:instrText>
    </w:r>
    <w:r>
      <w:rPr>
        <w:rStyle w:val="1047"/>
      </w:rPr>
      <w:fldChar w:fldCharType="separate"/>
    </w:r>
    <w:r>
      <w:rPr>
        <w:rStyle w:val="1047"/>
      </w:rPr>
      <w:t xml:space="preserve">2</w:t>
    </w:r>
    <w:r>
      <w:rPr>
        <w:rStyle w:val="1047"/>
      </w:rPr>
      <w:fldChar w:fldCharType="end"/>
    </w:r>
    <w:r>
      <w:rPr>
        <w:rStyle w:val="1047"/>
      </w:rPr>
    </w:r>
    <w:r>
      <w:rPr>
        <w:rStyle w:val="1047"/>
      </w:rPr>
    </w:r>
  </w:p>
  <w:p>
    <w:pPr>
      <w:pStyle w:val="104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rPr>
        <w:rStyle w:val="1047"/>
      </w:rPr>
      <w:framePr w:wrap="around" w:vAnchor="text" w:hAnchor="margin" w:xAlign="center" w:y="1"/>
    </w:pPr>
    <w:r>
      <w:rPr>
        <w:rStyle w:val="1047"/>
      </w:rPr>
      <w:fldChar w:fldCharType="begin"/>
    </w:r>
    <w:r>
      <w:rPr>
        <w:rStyle w:val="1047"/>
      </w:rPr>
      <w:instrText xml:space="preserve">PAGE  </w:instrText>
    </w:r>
    <w:r>
      <w:rPr>
        <w:rStyle w:val="1047"/>
      </w:rPr>
      <w:fldChar w:fldCharType="end"/>
    </w:r>
    <w:r>
      <w:rPr>
        <w:rStyle w:val="1047"/>
      </w:rPr>
    </w:r>
    <w:r>
      <w:rPr>
        <w:rStyle w:val="1047"/>
      </w:rPr>
    </w:r>
  </w:p>
  <w:p>
    <w:pPr>
      <w:pStyle w:val="10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4">
    <w:name w:val="Heading 1 Char"/>
    <w:basedOn w:val="1040"/>
    <w:link w:val="1038"/>
    <w:uiPriority w:val="9"/>
    <w:rPr>
      <w:rFonts w:ascii="Arial" w:hAnsi="Arial" w:eastAsia="Arial" w:cs="Arial"/>
      <w:sz w:val="40"/>
      <w:szCs w:val="40"/>
    </w:rPr>
  </w:style>
  <w:style w:type="character" w:styleId="865">
    <w:name w:val="Heading 2 Char"/>
    <w:basedOn w:val="1040"/>
    <w:link w:val="1039"/>
    <w:uiPriority w:val="9"/>
    <w:rPr>
      <w:rFonts w:ascii="Arial" w:hAnsi="Arial" w:eastAsia="Arial" w:cs="Arial"/>
      <w:sz w:val="34"/>
    </w:rPr>
  </w:style>
  <w:style w:type="paragraph" w:styleId="866">
    <w:name w:val="Heading 3"/>
    <w:basedOn w:val="1037"/>
    <w:next w:val="1037"/>
    <w:link w:val="8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7">
    <w:name w:val="Heading 3 Char"/>
    <w:basedOn w:val="1040"/>
    <w:link w:val="866"/>
    <w:uiPriority w:val="9"/>
    <w:rPr>
      <w:rFonts w:ascii="Arial" w:hAnsi="Arial" w:eastAsia="Arial" w:cs="Arial"/>
      <w:sz w:val="30"/>
      <w:szCs w:val="30"/>
    </w:rPr>
  </w:style>
  <w:style w:type="paragraph" w:styleId="868">
    <w:name w:val="Heading 4"/>
    <w:basedOn w:val="1037"/>
    <w:next w:val="1037"/>
    <w:link w:val="8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9">
    <w:name w:val="Heading 4 Char"/>
    <w:basedOn w:val="1040"/>
    <w:link w:val="868"/>
    <w:uiPriority w:val="9"/>
    <w:rPr>
      <w:rFonts w:ascii="Arial" w:hAnsi="Arial" w:eastAsia="Arial" w:cs="Arial"/>
      <w:b/>
      <w:bCs/>
      <w:sz w:val="26"/>
      <w:szCs w:val="26"/>
    </w:rPr>
  </w:style>
  <w:style w:type="paragraph" w:styleId="870">
    <w:name w:val="Heading 5"/>
    <w:basedOn w:val="1037"/>
    <w:next w:val="1037"/>
    <w:link w:val="8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1">
    <w:name w:val="Heading 5 Char"/>
    <w:basedOn w:val="1040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872">
    <w:name w:val="Heading 6"/>
    <w:basedOn w:val="1037"/>
    <w:next w:val="1037"/>
    <w:link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3">
    <w:name w:val="Heading 6 Char"/>
    <w:basedOn w:val="1040"/>
    <w:link w:val="872"/>
    <w:uiPriority w:val="9"/>
    <w:rPr>
      <w:rFonts w:ascii="Arial" w:hAnsi="Arial" w:eastAsia="Arial" w:cs="Arial"/>
      <w:b/>
      <w:bCs/>
      <w:sz w:val="22"/>
      <w:szCs w:val="22"/>
    </w:rPr>
  </w:style>
  <w:style w:type="paragraph" w:styleId="874">
    <w:name w:val="Heading 7"/>
    <w:basedOn w:val="1037"/>
    <w:next w:val="1037"/>
    <w:link w:val="8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5">
    <w:name w:val="Heading 7 Char"/>
    <w:basedOn w:val="1040"/>
    <w:link w:val="8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6">
    <w:name w:val="Heading 8"/>
    <w:basedOn w:val="1037"/>
    <w:next w:val="1037"/>
    <w:link w:val="8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7">
    <w:name w:val="Heading 8 Char"/>
    <w:basedOn w:val="1040"/>
    <w:link w:val="876"/>
    <w:uiPriority w:val="9"/>
    <w:rPr>
      <w:rFonts w:ascii="Arial" w:hAnsi="Arial" w:eastAsia="Arial" w:cs="Arial"/>
      <w:i/>
      <w:iCs/>
      <w:sz w:val="22"/>
      <w:szCs w:val="22"/>
    </w:rPr>
  </w:style>
  <w:style w:type="paragraph" w:styleId="878">
    <w:name w:val="Heading 9"/>
    <w:basedOn w:val="1037"/>
    <w:next w:val="1037"/>
    <w:link w:val="8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9">
    <w:name w:val="Heading 9 Char"/>
    <w:basedOn w:val="1040"/>
    <w:link w:val="878"/>
    <w:uiPriority w:val="9"/>
    <w:rPr>
      <w:rFonts w:ascii="Arial" w:hAnsi="Arial" w:eastAsia="Arial" w:cs="Arial"/>
      <w:i/>
      <w:iCs/>
      <w:sz w:val="21"/>
      <w:szCs w:val="21"/>
    </w:rPr>
  </w:style>
  <w:style w:type="paragraph" w:styleId="880">
    <w:name w:val="List Paragraph"/>
    <w:basedOn w:val="1037"/>
    <w:uiPriority w:val="34"/>
    <w:qFormat/>
    <w:pPr>
      <w:contextualSpacing/>
      <w:ind w:left="720"/>
    </w:pPr>
  </w:style>
  <w:style w:type="paragraph" w:styleId="881">
    <w:name w:val="No Spacing"/>
    <w:uiPriority w:val="1"/>
    <w:qFormat/>
    <w:pPr>
      <w:spacing w:before="0" w:after="0" w:line="240" w:lineRule="auto"/>
    </w:pPr>
  </w:style>
  <w:style w:type="paragraph" w:styleId="882">
    <w:name w:val="Title"/>
    <w:basedOn w:val="1037"/>
    <w:next w:val="1037"/>
    <w:link w:val="8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3">
    <w:name w:val="Title Char"/>
    <w:basedOn w:val="1040"/>
    <w:link w:val="882"/>
    <w:uiPriority w:val="10"/>
    <w:rPr>
      <w:sz w:val="48"/>
      <w:szCs w:val="48"/>
    </w:rPr>
  </w:style>
  <w:style w:type="paragraph" w:styleId="884">
    <w:name w:val="Subtitle"/>
    <w:basedOn w:val="1037"/>
    <w:next w:val="1037"/>
    <w:link w:val="885"/>
    <w:uiPriority w:val="11"/>
    <w:qFormat/>
    <w:pPr>
      <w:spacing w:before="200" w:after="200"/>
    </w:pPr>
    <w:rPr>
      <w:sz w:val="24"/>
      <w:szCs w:val="24"/>
    </w:rPr>
  </w:style>
  <w:style w:type="character" w:styleId="885">
    <w:name w:val="Subtitle Char"/>
    <w:basedOn w:val="1040"/>
    <w:link w:val="884"/>
    <w:uiPriority w:val="11"/>
    <w:rPr>
      <w:sz w:val="24"/>
      <w:szCs w:val="24"/>
    </w:rPr>
  </w:style>
  <w:style w:type="paragraph" w:styleId="886">
    <w:name w:val="Quote"/>
    <w:basedOn w:val="1037"/>
    <w:next w:val="1037"/>
    <w:link w:val="887"/>
    <w:uiPriority w:val="29"/>
    <w:qFormat/>
    <w:pPr>
      <w:ind w:left="720" w:right="720"/>
    </w:pPr>
    <w:rPr>
      <w:i/>
    </w:rPr>
  </w:style>
  <w:style w:type="character" w:styleId="887">
    <w:name w:val="Quote Char"/>
    <w:link w:val="886"/>
    <w:uiPriority w:val="29"/>
    <w:rPr>
      <w:i/>
    </w:rPr>
  </w:style>
  <w:style w:type="paragraph" w:styleId="888">
    <w:name w:val="Intense Quote"/>
    <w:basedOn w:val="1037"/>
    <w:next w:val="1037"/>
    <w:link w:val="8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9">
    <w:name w:val="Intense Quote Char"/>
    <w:link w:val="888"/>
    <w:uiPriority w:val="30"/>
    <w:rPr>
      <w:i/>
    </w:rPr>
  </w:style>
  <w:style w:type="character" w:styleId="890">
    <w:name w:val="Header Char"/>
    <w:basedOn w:val="1040"/>
    <w:link w:val="1043"/>
    <w:uiPriority w:val="99"/>
  </w:style>
  <w:style w:type="character" w:styleId="891">
    <w:name w:val="Footer Char"/>
    <w:basedOn w:val="1040"/>
    <w:link w:val="1044"/>
    <w:uiPriority w:val="99"/>
  </w:style>
  <w:style w:type="paragraph" w:styleId="892">
    <w:name w:val="Caption"/>
    <w:basedOn w:val="1037"/>
    <w:next w:val="1037"/>
    <w:link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3">
    <w:name w:val="Caption Char"/>
    <w:basedOn w:val="892"/>
    <w:link w:val="1044"/>
    <w:uiPriority w:val="99"/>
  </w:style>
  <w:style w:type="table" w:styleId="894">
    <w:name w:val="Table Grid"/>
    <w:basedOn w:val="10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>
    <w:name w:val="Table Grid Light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Plain Table 1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7">
    <w:name w:val="Plain Table 2"/>
    <w:basedOn w:val="10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8">
    <w:name w:val="Plain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9">
    <w:name w:val="Plain Table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Plain Table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1">
    <w:name w:val="Grid Table 1 Light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Grid Table 1 Light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Grid Table 1 Light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2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2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3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4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3">
    <w:name w:val="Grid Table 4 - Accent 1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4">
    <w:name w:val="Grid Table 4 - Accent 2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Grid Table 4 - Accent 3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6">
    <w:name w:val="Grid Table 4 - Accent 4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Grid Table 4 - Accent 5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28">
    <w:name w:val="Grid Table 4 - Accent 6"/>
    <w:basedOn w:val="10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9">
    <w:name w:val="Grid Table 5 Dark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0">
    <w:name w:val="Grid Table 5 Dark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31">
    <w:name w:val="Grid Table 5 Dark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2">
    <w:name w:val="Grid Table 5 Dark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33">
    <w:name w:val="Grid Table 5 Dark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35">
    <w:name w:val="Grid Table 5 Dark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6">
    <w:name w:val="Grid Table 6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7">
    <w:name w:val="Grid Table 6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38">
    <w:name w:val="Grid Table 6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9">
    <w:name w:val="Grid Table 6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0">
    <w:name w:val="Grid Table 6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1">
    <w:name w:val="Grid Table 6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2">
    <w:name w:val="Grid Table 6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3">
    <w:name w:val="Grid Table 7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7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7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1 Light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58">
    <w:name w:val="List Table 2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9">
    <w:name w:val="List Table 2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0">
    <w:name w:val="List Table 2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1">
    <w:name w:val="List Table 2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2">
    <w:name w:val="List Table 2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3">
    <w:name w:val="List Table 2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4">
    <w:name w:val="List Table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3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3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4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5 Dark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9">
    <w:name w:val="List Table 5 Dark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0">
    <w:name w:val="List Table 5 Dark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6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6">
    <w:name w:val="List Table 6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List Table 6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88">
    <w:name w:val="List Table 6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9">
    <w:name w:val="List Table 6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0">
    <w:name w:val="List Table 6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1">
    <w:name w:val="List Table 6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2">
    <w:name w:val="List Table 7 Colorful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3">
    <w:name w:val="List Table 7 Colorful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94">
    <w:name w:val="List Table 7 Colorful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95">
    <w:name w:val="List Table 7 Colorful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6">
    <w:name w:val="List Table 7 Colorful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97">
    <w:name w:val="List Table 7 Colorful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98">
    <w:name w:val="List Table 7 Colorful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99">
    <w:name w:val="Lined - Accent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0">
    <w:name w:val="Lined - Accent 1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1">
    <w:name w:val="Lined - Accent 2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2">
    <w:name w:val="Lined - Accent 3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3">
    <w:name w:val="Lined - Accent 4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4">
    <w:name w:val="Lined - Accent 5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05">
    <w:name w:val="Lined - Accent 6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6">
    <w:name w:val="Bordered &amp; Lined - Accent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7">
    <w:name w:val="Bordered &amp; Lined - Accent 1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8">
    <w:name w:val="Bordered &amp; Lined - Accent 2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9">
    <w:name w:val="Bordered &amp; Lined - Accent 3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0">
    <w:name w:val="Bordered &amp; Lined - Accent 4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1">
    <w:name w:val="Bordered &amp; Lined - Accent 5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2">
    <w:name w:val="Bordered &amp; Lined - Accent 6"/>
    <w:basedOn w:val="10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3">
    <w:name w:val="Bordered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4">
    <w:name w:val="Bordered - Accent 1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5">
    <w:name w:val="Bordered - Accent 2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6">
    <w:name w:val="Bordered - Accent 3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7">
    <w:name w:val="Bordered - Accent 4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18">
    <w:name w:val="Bordered - Accent 5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9">
    <w:name w:val="Bordered - Accent 6"/>
    <w:basedOn w:val="10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20">
    <w:name w:val="footnote text"/>
    <w:basedOn w:val="1037"/>
    <w:link w:val="1021"/>
    <w:uiPriority w:val="99"/>
    <w:semiHidden/>
    <w:unhideWhenUsed/>
    <w:pPr>
      <w:spacing w:after="40" w:line="240" w:lineRule="auto"/>
    </w:pPr>
    <w:rPr>
      <w:sz w:val="18"/>
    </w:rPr>
  </w:style>
  <w:style w:type="character" w:styleId="1021">
    <w:name w:val="Footnote Text Char"/>
    <w:link w:val="1020"/>
    <w:uiPriority w:val="99"/>
    <w:rPr>
      <w:sz w:val="18"/>
    </w:rPr>
  </w:style>
  <w:style w:type="character" w:styleId="1022">
    <w:name w:val="footnote reference"/>
    <w:basedOn w:val="1040"/>
    <w:uiPriority w:val="99"/>
    <w:unhideWhenUsed/>
    <w:rPr>
      <w:vertAlign w:val="superscript"/>
    </w:rPr>
  </w:style>
  <w:style w:type="paragraph" w:styleId="1023">
    <w:name w:val="endnote text"/>
    <w:basedOn w:val="1037"/>
    <w:link w:val="1024"/>
    <w:uiPriority w:val="99"/>
    <w:semiHidden/>
    <w:unhideWhenUsed/>
    <w:pPr>
      <w:spacing w:after="0" w:line="240" w:lineRule="auto"/>
    </w:pPr>
    <w:rPr>
      <w:sz w:val="20"/>
    </w:rPr>
  </w:style>
  <w:style w:type="character" w:styleId="1024">
    <w:name w:val="Endnote Text Char"/>
    <w:link w:val="1023"/>
    <w:uiPriority w:val="99"/>
    <w:rPr>
      <w:sz w:val="20"/>
    </w:rPr>
  </w:style>
  <w:style w:type="character" w:styleId="1025">
    <w:name w:val="endnote reference"/>
    <w:basedOn w:val="1040"/>
    <w:uiPriority w:val="99"/>
    <w:semiHidden/>
    <w:unhideWhenUsed/>
    <w:rPr>
      <w:vertAlign w:val="superscript"/>
    </w:rPr>
  </w:style>
  <w:style w:type="paragraph" w:styleId="1026">
    <w:name w:val="toc 1"/>
    <w:basedOn w:val="1037"/>
    <w:next w:val="1037"/>
    <w:uiPriority w:val="39"/>
    <w:unhideWhenUsed/>
    <w:pPr>
      <w:ind w:left="0" w:right="0" w:firstLine="0"/>
      <w:spacing w:after="57"/>
    </w:pPr>
  </w:style>
  <w:style w:type="paragraph" w:styleId="1027">
    <w:name w:val="toc 2"/>
    <w:basedOn w:val="1037"/>
    <w:next w:val="1037"/>
    <w:uiPriority w:val="39"/>
    <w:unhideWhenUsed/>
    <w:pPr>
      <w:ind w:left="283" w:right="0" w:firstLine="0"/>
      <w:spacing w:after="57"/>
    </w:pPr>
  </w:style>
  <w:style w:type="paragraph" w:styleId="1028">
    <w:name w:val="toc 3"/>
    <w:basedOn w:val="1037"/>
    <w:next w:val="1037"/>
    <w:uiPriority w:val="39"/>
    <w:unhideWhenUsed/>
    <w:pPr>
      <w:ind w:left="567" w:right="0" w:firstLine="0"/>
      <w:spacing w:after="57"/>
    </w:pPr>
  </w:style>
  <w:style w:type="paragraph" w:styleId="1029">
    <w:name w:val="toc 4"/>
    <w:basedOn w:val="1037"/>
    <w:next w:val="1037"/>
    <w:uiPriority w:val="39"/>
    <w:unhideWhenUsed/>
    <w:pPr>
      <w:ind w:left="850" w:right="0" w:firstLine="0"/>
      <w:spacing w:after="57"/>
    </w:pPr>
  </w:style>
  <w:style w:type="paragraph" w:styleId="1030">
    <w:name w:val="toc 5"/>
    <w:basedOn w:val="1037"/>
    <w:next w:val="1037"/>
    <w:uiPriority w:val="39"/>
    <w:unhideWhenUsed/>
    <w:pPr>
      <w:ind w:left="1134" w:right="0" w:firstLine="0"/>
      <w:spacing w:after="57"/>
    </w:pPr>
  </w:style>
  <w:style w:type="paragraph" w:styleId="1031">
    <w:name w:val="toc 6"/>
    <w:basedOn w:val="1037"/>
    <w:next w:val="1037"/>
    <w:uiPriority w:val="39"/>
    <w:unhideWhenUsed/>
    <w:pPr>
      <w:ind w:left="1417" w:right="0" w:firstLine="0"/>
      <w:spacing w:after="57"/>
    </w:pPr>
  </w:style>
  <w:style w:type="paragraph" w:styleId="1032">
    <w:name w:val="toc 7"/>
    <w:basedOn w:val="1037"/>
    <w:next w:val="1037"/>
    <w:uiPriority w:val="39"/>
    <w:unhideWhenUsed/>
    <w:pPr>
      <w:ind w:left="1701" w:right="0" w:firstLine="0"/>
      <w:spacing w:after="57"/>
    </w:pPr>
  </w:style>
  <w:style w:type="paragraph" w:styleId="1033">
    <w:name w:val="toc 8"/>
    <w:basedOn w:val="1037"/>
    <w:next w:val="1037"/>
    <w:uiPriority w:val="39"/>
    <w:unhideWhenUsed/>
    <w:pPr>
      <w:ind w:left="1984" w:right="0" w:firstLine="0"/>
      <w:spacing w:after="57"/>
    </w:pPr>
  </w:style>
  <w:style w:type="paragraph" w:styleId="1034">
    <w:name w:val="toc 9"/>
    <w:basedOn w:val="1037"/>
    <w:next w:val="1037"/>
    <w:uiPriority w:val="39"/>
    <w:unhideWhenUsed/>
    <w:pPr>
      <w:ind w:left="2268" w:right="0" w:firstLine="0"/>
      <w:spacing w:after="57"/>
    </w:pPr>
  </w:style>
  <w:style w:type="paragraph" w:styleId="1035">
    <w:name w:val="TOC Heading"/>
    <w:uiPriority w:val="39"/>
    <w:unhideWhenUsed/>
  </w:style>
  <w:style w:type="paragraph" w:styleId="1036">
    <w:name w:val="table of figures"/>
    <w:basedOn w:val="1037"/>
    <w:next w:val="1037"/>
    <w:uiPriority w:val="99"/>
    <w:unhideWhenUsed/>
    <w:pPr>
      <w:spacing w:after="0" w:afterAutospacing="0"/>
    </w:pPr>
  </w:style>
  <w:style w:type="paragraph" w:styleId="1037" w:default="1">
    <w:name w:val="Normal"/>
    <w:qFormat/>
  </w:style>
  <w:style w:type="paragraph" w:styleId="1038">
    <w:name w:val="Heading 1"/>
    <w:basedOn w:val="1037"/>
    <w:next w:val="1037"/>
    <w:qFormat/>
    <w:pPr>
      <w:jc w:val="center"/>
      <w:keepNext/>
      <w:outlineLvl w:val="0"/>
    </w:pPr>
    <w:rPr>
      <w:b/>
      <w:sz w:val="28"/>
    </w:rPr>
  </w:style>
  <w:style w:type="paragraph" w:styleId="1039">
    <w:name w:val="Heading 2"/>
    <w:basedOn w:val="1037"/>
    <w:next w:val="1037"/>
    <w:qFormat/>
    <w:pPr>
      <w:jc w:val="center"/>
      <w:keepNext/>
      <w:outlineLvl w:val="1"/>
    </w:pPr>
    <w:rPr>
      <w:sz w:val="24"/>
    </w:rPr>
  </w:style>
  <w:style w:type="character" w:styleId="1040" w:default="1">
    <w:name w:val="Default Paragraph Font"/>
    <w:semiHidden/>
  </w:style>
  <w:style w:type="table" w:styleId="104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2" w:default="1">
    <w:name w:val="No List"/>
    <w:semiHidden/>
  </w:style>
  <w:style w:type="paragraph" w:styleId="1043">
    <w:name w:val="Header"/>
    <w:basedOn w:val="1037"/>
    <w:pPr>
      <w:tabs>
        <w:tab w:val="center" w:pos="4153" w:leader="none"/>
        <w:tab w:val="right" w:pos="8306" w:leader="none"/>
      </w:tabs>
    </w:pPr>
  </w:style>
  <w:style w:type="paragraph" w:styleId="1044">
    <w:name w:val="Footer"/>
    <w:basedOn w:val="1037"/>
    <w:pPr>
      <w:tabs>
        <w:tab w:val="center" w:pos="4153" w:leader="none"/>
        <w:tab w:val="right" w:pos="8306" w:leader="none"/>
      </w:tabs>
    </w:pPr>
  </w:style>
  <w:style w:type="character" w:styleId="1045">
    <w:name w:val="Hyperlink"/>
    <w:rPr>
      <w:color w:val="0000ff"/>
      <w:u w:val="single"/>
    </w:rPr>
  </w:style>
  <w:style w:type="paragraph" w:styleId="1046">
    <w:name w:val="Body Text"/>
    <w:basedOn w:val="1037"/>
    <w:rPr>
      <w:sz w:val="28"/>
    </w:rPr>
  </w:style>
  <w:style w:type="character" w:styleId="1047">
    <w:name w:val="page number"/>
    <w:basedOn w:val="1040"/>
  </w:style>
  <w:style w:type="paragraph" w:styleId="1048">
    <w:name w:val="Balloon Text"/>
    <w:basedOn w:val="1037"/>
    <w:link w:val="1049"/>
    <w:rPr>
      <w:rFonts w:ascii="Tahoma" w:hAnsi="Tahoma" w:cs="Tahoma"/>
      <w:sz w:val="16"/>
      <w:szCs w:val="16"/>
    </w:rPr>
  </w:style>
  <w:style w:type="character" w:styleId="1049" w:customStyle="1">
    <w:name w:val="Текст выноски Знак"/>
    <w:link w:val="1048"/>
    <w:rPr>
      <w:rFonts w:ascii="Tahoma" w:hAnsi="Tahoma" w:cs="Tahoma"/>
      <w:sz w:val="16"/>
      <w:szCs w:val="16"/>
    </w:rPr>
  </w:style>
  <w:style w:type="paragraph" w:styleId="1050" w:customStyle="1">
    <w:name w:val="Заголовок 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kutasheva-av</cp:lastModifiedBy>
  <cp:revision>20</cp:revision>
  <dcterms:created xsi:type="dcterms:W3CDTF">2024-07-26T05:32:00Z</dcterms:created>
  <dcterms:modified xsi:type="dcterms:W3CDTF">2026-03-10T04:41:42Z</dcterms:modified>
</cp:coreProperties>
</file>