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center"/>
        <w:rPr>
          <w:sz w:val="22"/>
          <w:szCs w:val="22"/>
          <w:highlight w:val="none"/>
        </w:rPr>
      </w:pPr>
      <w:r>
        <w:rPr>
          <w:sz w:val="22"/>
          <w:szCs w:val="22"/>
        </w:rPr>
      </w:r>
      <w:bookmarkStart w:id="0" w:name="undefined"/>
      <w:r>
        <w:rPr>
          <w:sz w:val="22"/>
          <w:szCs w:val="22"/>
        </w:rPr>
      </w:r>
      <w:bookmarkEnd w:id="0"/>
      <w:r>
        <w:rPr>
          <w:sz w:val="22"/>
          <w:szCs w:val="22"/>
        </w:rPr>
        <w:t xml:space="preserve">ОТЧЕТ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 итогах реализации инициативного проекта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5"/>
        <w:jc w:val="center"/>
        <w:rPr>
          <w:sz w:val="28"/>
          <w:szCs w:val="28"/>
          <w:u w:val="singl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«Создание комфортного многофункционального пространства для развития потенциала молодежи в ОЦ «Январский».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(наименование инициативного проекта)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поступлении денежных средств в разрезе источников финансирования: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06"/>
        <w:gridCol w:w="1417"/>
        <w:gridCol w:w="992"/>
        <w:gridCol w:w="1134"/>
        <w:gridCol w:w="1399"/>
        <w:gridCol w:w="1276"/>
        <w:gridCol w:w="992"/>
        <w:gridCol w:w="1559"/>
        <w:gridCol w:w="1436"/>
        <w:gridCol w:w="850"/>
        <w:gridCol w:w="1886"/>
      </w:tblGrid>
      <w:tr>
        <w:tblPrEx/>
        <w:trPr/>
        <w:tc>
          <w:tcPr>
            <w:gridSpan w:val="4"/>
            <w:tcW w:w="574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Предусмотрено средств на реализацию инициативного проекта,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66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поступление средств на реализацию инициативного проекта,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4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Использовано средств на реализацию инициативного проекта,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8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Остаток неиспользованных средств,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20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86" w:type="dxa"/>
            <w:textDirection w:val="lrTb"/>
            <w:noWrap w:val="false"/>
          </w:tcPr>
          <w:p>
            <w:pPr>
              <w:pStyle w:val="8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20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2 + 3 + 4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= 6 + 7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= 9 + 10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8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= 5 - 8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20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855 874,00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43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855 874,00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0,0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8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94 126,00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92"/>
        <w:contextualSpacing/>
        <w:ind w:firstLine="540"/>
        <w:jc w:val="both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ДС1 - средства бюджета города Перми;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contextualSpacing/>
        <w:ind w:firstLine="540"/>
        <w:jc w:val="both"/>
        <w:spacing w:before="240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ДС2 - финансовое участие заинтересованных лиц в реализации инициативного проекта в денежном эквиваленте;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contextualSpacing/>
        <w:ind w:firstLine="540"/>
        <w:jc w:val="both"/>
        <w:spacing w:before="240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о реализации инициативного проекта: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9746"/>
        <w:gridCol w:w="1984"/>
        <w:gridCol w:w="1417"/>
        <w:gridCol w:w="1417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74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74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746" w:type="dxa"/>
            <w:textDirection w:val="lrTb"/>
            <w:noWrap w:val="false"/>
          </w:tcPr>
          <w:p>
            <w:pPr>
              <w:pStyle w:val="8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муниципального(-ых) контракта(-ов) (договора(-ов),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746" w:type="dxa"/>
            <w:textDirection w:val="lrTb"/>
            <w:noWrap w:val="false"/>
          </w:tcPr>
          <w:p>
            <w:pPr>
              <w:pStyle w:val="8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инициативного проекта в течение календарного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ind w:left="283" w:righ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Глава города Перми</w:t>
      </w:r>
      <w:r>
        <w:rPr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</w:t>
      </w:r>
      <w:r>
        <w:rPr>
          <w:sz w:val="22"/>
          <w:szCs w:val="22"/>
        </w:rPr>
        <w:t xml:space="preserve">Э.О. Соснин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ind w:left="283" w:right="0" w:firstLine="14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ind w:left="283" w:righ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ind w:left="283" w:right="0" w:firstLine="14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ind w:left="283" w:righ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425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</w:r>
    <w:r>
      <w:rPr>
        <w:sz w:val="28"/>
        <w:szCs w:val="28"/>
      </w:rPr>
    </w:r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lang w:val="ru-RU" w:eastAsia="ru-RU" w:bidi="ar-SA"/>
    </w:rPr>
  </w:style>
  <w:style w:type="paragraph" w:styleId="876">
    <w:name w:val="Заголовок 1"/>
    <w:basedOn w:val="875"/>
    <w:next w:val="875"/>
    <w:link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Заголовок 2"/>
    <w:basedOn w:val="875"/>
    <w:next w:val="875"/>
    <w:link w:val="875"/>
    <w:qFormat/>
    <w:pPr>
      <w:ind w:right="-1"/>
      <w:jc w:val="both"/>
      <w:keepNext/>
      <w:outlineLvl w:val="1"/>
    </w:pPr>
    <w:rPr>
      <w:sz w:val="24"/>
    </w:rPr>
  </w:style>
  <w:style w:type="character" w:styleId="878">
    <w:name w:val="Основной шрифт абзаца"/>
    <w:next w:val="878"/>
    <w:link w:val="875"/>
    <w:semiHidden/>
  </w:style>
  <w:style w:type="table" w:styleId="879">
    <w:name w:val="Обычная таблица"/>
    <w:next w:val="879"/>
    <w:link w:val="875"/>
    <w:semiHidden/>
    <w:tblPr/>
  </w:style>
  <w:style w:type="numbering" w:styleId="880">
    <w:name w:val="Нет списка"/>
    <w:next w:val="880"/>
    <w:link w:val="875"/>
    <w:semiHidden/>
  </w:style>
  <w:style w:type="paragraph" w:styleId="881">
    <w:name w:val="Название объекта"/>
    <w:basedOn w:val="875"/>
    <w:next w:val="875"/>
    <w:link w:val="8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Основной текст"/>
    <w:basedOn w:val="875"/>
    <w:next w:val="882"/>
    <w:link w:val="891"/>
    <w:pPr>
      <w:ind w:right="3117"/>
    </w:pPr>
    <w:rPr>
      <w:rFonts w:ascii="Courier New" w:hAnsi="Courier New"/>
      <w:sz w:val="26"/>
    </w:rPr>
  </w:style>
  <w:style w:type="paragraph" w:styleId="883">
    <w:name w:val="Основной текст с отступом"/>
    <w:basedOn w:val="875"/>
    <w:next w:val="883"/>
    <w:link w:val="875"/>
    <w:pPr>
      <w:ind w:right="-1"/>
      <w:jc w:val="both"/>
    </w:pPr>
    <w:rPr>
      <w:sz w:val="26"/>
    </w:rPr>
  </w:style>
  <w:style w:type="paragraph" w:styleId="884">
    <w:name w:val="Нижний колонтитул"/>
    <w:basedOn w:val="875"/>
    <w:next w:val="884"/>
    <w:link w:val="875"/>
    <w:pPr>
      <w:tabs>
        <w:tab w:val="center" w:pos="4153" w:leader="none"/>
        <w:tab w:val="right" w:pos="8306" w:leader="none"/>
      </w:tabs>
    </w:pPr>
  </w:style>
  <w:style w:type="character" w:styleId="885">
    <w:name w:val="Номер страницы"/>
    <w:basedOn w:val="878"/>
    <w:next w:val="885"/>
    <w:link w:val="875"/>
  </w:style>
  <w:style w:type="paragraph" w:styleId="886">
    <w:name w:val="Верхний колонтитул"/>
    <w:basedOn w:val="875"/>
    <w:next w:val="886"/>
    <w:link w:val="889"/>
    <w:uiPriority w:val="99"/>
    <w:pPr>
      <w:tabs>
        <w:tab w:val="center" w:pos="4153" w:leader="none"/>
        <w:tab w:val="right" w:pos="8306" w:leader="none"/>
      </w:tabs>
    </w:pPr>
  </w:style>
  <w:style w:type="paragraph" w:styleId="887">
    <w:name w:val="Текст выноски"/>
    <w:basedOn w:val="875"/>
    <w:next w:val="887"/>
    <w:link w:val="888"/>
    <w:rPr>
      <w:rFonts w:ascii="Segoe UI" w:hAnsi="Segoe UI" w:cs="Segoe UI"/>
      <w:sz w:val="18"/>
      <w:szCs w:val="18"/>
    </w:rPr>
  </w:style>
  <w:style w:type="character" w:styleId="888">
    <w:name w:val="Текст выноски Знак"/>
    <w:next w:val="888"/>
    <w:link w:val="887"/>
    <w:rPr>
      <w:rFonts w:ascii="Segoe UI" w:hAnsi="Segoe UI" w:cs="Segoe UI"/>
      <w:sz w:val="18"/>
      <w:szCs w:val="18"/>
    </w:rPr>
  </w:style>
  <w:style w:type="character" w:styleId="889">
    <w:name w:val="Верхний колонтитул Знак"/>
    <w:next w:val="889"/>
    <w:link w:val="886"/>
    <w:uiPriority w:val="99"/>
  </w:style>
  <w:style w:type="paragraph" w:styleId="890">
    <w:name w:val="Форма"/>
    <w:next w:val="890"/>
    <w:link w:val="875"/>
    <w:rPr>
      <w:sz w:val="28"/>
      <w:szCs w:val="28"/>
      <w:lang w:val="ru-RU" w:eastAsia="ru-RU" w:bidi="ar-SA"/>
    </w:rPr>
  </w:style>
  <w:style w:type="character" w:styleId="891">
    <w:name w:val="Основной текст Знак"/>
    <w:next w:val="891"/>
    <w:link w:val="882"/>
    <w:rPr>
      <w:rFonts w:ascii="Courier New" w:hAnsi="Courier New"/>
      <w:sz w:val="26"/>
    </w:rPr>
  </w:style>
  <w:style w:type="paragraph" w:styleId="892">
    <w:name w:val="ConsPlusNormal"/>
    <w:next w:val="892"/>
    <w:link w:val="875"/>
    <w:pPr>
      <w:widowControl w:val="off"/>
    </w:pPr>
    <w:rPr>
      <w:sz w:val="28"/>
      <w:lang w:val="ru-RU" w:eastAsia="ru-RU" w:bidi="ar-SA"/>
    </w:rPr>
  </w:style>
  <w:style w:type="paragraph" w:styleId="893">
    <w:name w:val="ConsPlusNonformat"/>
    <w:next w:val="893"/>
    <w:link w:val="875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4">
    <w:name w:val="Сетка таблицы"/>
    <w:basedOn w:val="879"/>
    <w:next w:val="894"/>
    <w:link w:val="875"/>
    <w:tblPr/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13</cp:revision>
  <dcterms:created xsi:type="dcterms:W3CDTF">2023-08-17T05:51:00Z</dcterms:created>
  <dcterms:modified xsi:type="dcterms:W3CDTF">2025-12-15T04:58:51Z</dcterms:modified>
  <cp:version>917504</cp:version>
</cp:coreProperties>
</file>