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</w:pPr>
      <w:r>
        <w:rPr>
          <w:b w:val="0"/>
          <w:bCs w:val="0"/>
          <w:szCs w:val="28"/>
          <w:u w:val="single"/>
        </w:rPr>
        <w:t xml:space="preserve">«</w:t>
      </w:r>
      <w:r/>
      <w:r>
        <w:rPr>
          <w:b w:val="0"/>
          <w:bCs w:val="0"/>
          <w:szCs w:val="28"/>
          <w:u w:val="single"/>
        </w:rPr>
        <w:t xml:space="preserve">Озеленение сквера на </w:t>
      </w:r>
      <w:r/>
      <w:r>
        <w:rPr>
          <w:b w:val="0"/>
          <w:bCs w:val="0"/>
          <w:szCs w:val="28"/>
          <w:u w:val="single"/>
        </w:rPr>
        <w:t xml:space="preserve">пересечении ул. Глинки и ул. Геологов, 2 этап</w:t>
      </w:r>
      <w:r/>
      <w:r>
        <w:rPr>
          <w:b w:val="0"/>
          <w:bCs w:val="0"/>
          <w:szCs w:val="28"/>
          <w:u w:val="single"/>
        </w:rPr>
      </w:r>
      <w:r>
        <w:rPr>
          <w:b w:val="0"/>
          <w:bCs w:val="0"/>
          <w:szCs w:val="28"/>
          <w:u w:val="single"/>
        </w:rPr>
        <w:t xml:space="preserve"> »</w:t>
      </w:r>
      <w:r/>
      <w:r/>
      <w:r>
        <w:rPr>
          <w:b w:val="0"/>
          <w:bCs w:val="0"/>
          <w:szCs w:val="28"/>
          <w:u w:val="single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инициативного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4 450 000,00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12</cp:revision>
  <dcterms:created xsi:type="dcterms:W3CDTF">2023-08-18T04:48:00Z</dcterms:created>
  <dcterms:modified xsi:type="dcterms:W3CDTF">2025-11-17T11:22:26Z</dcterms:modified>
  <cp:version>1048576</cp:version>
</cp:coreProperties>
</file>