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b/>
          <w:bCs/>
          <w:sz w:val="21"/>
          <w:szCs w:val="21"/>
        </w:rPr>
        <w:t xml:space="preserve">СОЦИАЛЬНАЯ ПОМОЩЬ И ПОДДЕРЖКА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ЧЛЕНОВ СЕМЕЙ ПОГИБШИХ УЧАСТНИКОВ СВО </w:t>
      </w:r>
      <w:r>
        <w:rPr>
          <w:rFonts w:ascii="Arial" w:hAnsi="Arial"/>
          <w:b/>
          <w:bCs/>
          <w:sz w:val="21"/>
          <w:szCs w:val="21"/>
        </w:rPr>
        <w:br/>
        <w:t>В 2026 ГОДУ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3626"/>
        <w:gridCol w:w="4760"/>
        <w:gridCol w:w="2155"/>
      </w:tblGrid>
      <w:tr>
        <w:trPr>
          <w:tblHeader w:val="true"/>
        </w:trPr>
        <w:tc>
          <w:tcPr>
            <w:tcW w:w="3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Мера </w:t>
              <w:br/>
              <w:t>поддержки</w:t>
            </w:r>
          </w:p>
        </w:tc>
        <w:tc>
          <w:tcPr>
            <w:tcW w:w="4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Размер </w:t>
              <w:br/>
              <w:t>выплаты</w:t>
            </w:r>
          </w:p>
        </w:tc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Кто предоставляет (как получить)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Единовременная выплата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br/>
              <w:t>в случае гибели участника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5 млн. руб.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eastAsia="Times New Roman" w:cs="Times New Roman" w:ascii="Arial" w:hAnsi="Arial"/>
                <w:sz w:val="17"/>
                <w:szCs w:val="17"/>
              </w:rPr>
              <w:t xml:space="preserve">— выплачивается </w:t>
            </w:r>
            <w:r>
              <w:rPr>
                <w:rFonts w:eastAsia="Times New Roman" w:cs="Times New Roman" w:ascii="Arial" w:hAnsi="Arial"/>
                <w:b/>
                <w:bCs/>
                <w:sz w:val="17"/>
                <w:szCs w:val="17"/>
              </w:rPr>
              <w:t xml:space="preserve">в равных долях </w:t>
            </w:r>
            <w:r>
              <w:rPr>
                <w:rFonts w:eastAsia="Times New Roman" w:cs="Times New Roman" w:ascii="Arial" w:hAnsi="Arial"/>
                <w:b/>
                <w:bCs/>
                <w:sz w:val="17"/>
                <w:szCs w:val="17"/>
                <w:u w:val="single"/>
              </w:rPr>
              <w:t xml:space="preserve">на всех членов семьи: </w:t>
            </w:r>
            <w:r>
              <w:rPr>
                <w:rFonts w:eastAsia="Times New Roman" w:cs="Times New Roman" w:ascii="Arial" w:hAnsi="Arial"/>
                <w:sz w:val="17"/>
                <w:szCs w:val="17"/>
              </w:rPr>
              <w:t>(супруга (супруг), родители (усыновители), дети, опекуны (попечители) до достижения погибшим совершеннолетия, фактические воспитатели, лица, чье право признано решением суда).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Единовременное пособие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br/>
              <w:t>в случае гибели участника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5 524 892,57 руб.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eastAsia="Times New Roman" w:cs="Times New Roman" w:ascii="Arial" w:hAnsi="Arial"/>
                <w:sz w:val="17"/>
                <w:szCs w:val="17"/>
              </w:rPr>
              <w:t xml:space="preserve">— в равных долях </w:t>
            </w:r>
            <w:r>
              <w:rPr>
                <w:rFonts w:eastAsia="Times New Roman" w:cs="Times New Roman" w:ascii="Arial" w:hAnsi="Arial"/>
                <w:sz w:val="17"/>
                <w:szCs w:val="17"/>
                <w:u w:val="single"/>
              </w:rPr>
              <w:t>на всех членов семьи.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Минобороны РФ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Страховое обеспечение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  <w:br/>
              <w:t>в случае гибели участника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eastAsia="Times New Roman" w:cs="Times New Roman" w:ascii="Arial" w:hAnsi="Arial"/>
                <w:b/>
                <w:bCs/>
                <w:sz w:val="17"/>
                <w:szCs w:val="17"/>
              </w:rPr>
              <w:t>3 683 261,71 руб</w:t>
            </w:r>
            <w:r>
              <w:rPr>
                <w:rFonts w:eastAsia="Times New Roman" w:cs="Times New Roman" w:ascii="Arial" w:hAnsi="Arial"/>
                <w:sz w:val="17"/>
                <w:szCs w:val="17"/>
              </w:rPr>
              <w:t xml:space="preserve">. — в равных долях </w:t>
            </w:r>
            <w:r>
              <w:rPr>
                <w:rFonts w:eastAsia="Times New Roman" w:cs="Times New Roman" w:ascii="Arial" w:hAnsi="Arial"/>
                <w:sz w:val="17"/>
                <w:szCs w:val="17"/>
                <w:u w:val="single"/>
              </w:rPr>
              <w:t>на всех членов семьи.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Единовременное поощрение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>к государственной награде, присвоенной военнослужащему посмертно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 окладов </w:t>
            </w:r>
            <w:r>
              <w:rPr>
                <w:rFonts w:ascii="Arial" w:hAnsi="Arial"/>
                <w:sz w:val="17"/>
                <w:szCs w:val="17"/>
              </w:rPr>
              <w:t xml:space="preserve">месячного содержания военнослужащего </w:t>
              <w:br/>
              <w:t>в равных долях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 xml:space="preserve"> (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10 окладов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— Героям России)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Минобороны РФ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Оплата расходов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на погребение и изготовление надгробного памятника </w:t>
            </w:r>
            <w:r>
              <w:rPr>
                <w:rFonts w:ascii="Arial" w:hAnsi="Arial"/>
                <w:sz w:val="17"/>
                <w:szCs w:val="17"/>
              </w:rPr>
              <w:t>погибшего военнослужащего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В размере понесенных расходов, но не более: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59 612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на погребение;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57 252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на изготовление памятника.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Материальная помощь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в случае гибели участника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 млн. руб.</w:t>
            </w:r>
            <w:r>
              <w:rPr>
                <w:rFonts w:ascii="Arial" w:hAnsi="Arial"/>
                <w:sz w:val="17"/>
                <w:szCs w:val="17"/>
              </w:rPr>
              <w:t xml:space="preserve"> — в равных долях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на всех членов семьи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социальных выплат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Ежемесячная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денежная компенсация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12 891,43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одному члену семьи;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8 594,28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двум </w:t>
            </w:r>
            <w:r>
              <w:rPr>
                <w:rFonts w:ascii="Arial" w:hAnsi="Arial"/>
                <w:sz w:val="17"/>
                <w:szCs w:val="17"/>
                <w:u w:val="single"/>
              </w:rPr>
              <w:t>(каждому)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6 445,71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трем </w:t>
            </w:r>
            <w:r>
              <w:rPr>
                <w:rFonts w:ascii="Arial" w:hAnsi="Arial"/>
                <w:sz w:val="17"/>
                <w:szCs w:val="17"/>
                <w:u w:val="single"/>
              </w:rPr>
              <w:t>(каждому)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5 156,57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четырем </w:t>
            </w:r>
            <w:r>
              <w:rPr>
                <w:rFonts w:ascii="Arial" w:hAnsi="Arial"/>
                <w:sz w:val="17"/>
                <w:szCs w:val="17"/>
                <w:u w:val="single"/>
              </w:rPr>
              <w:t>(каждому)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4 297,14 руб.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пяти </w:t>
            </w:r>
            <w:r>
              <w:rPr>
                <w:rFonts w:ascii="Arial" w:hAnsi="Arial"/>
                <w:sz w:val="17"/>
                <w:szCs w:val="17"/>
                <w:u w:val="single"/>
              </w:rPr>
              <w:t>(каждому)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  <w:p>
            <w:pPr>
              <w:pStyle w:val="Style18"/>
              <w:ind w:start="454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Выплата индексируется.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РФ, СФР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Пенсия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по потере кормильца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В размере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50 % </w:t>
            </w:r>
            <w:r>
              <w:rPr>
                <w:rFonts w:ascii="Arial" w:hAnsi="Arial"/>
                <w:sz w:val="17"/>
                <w:szCs w:val="17"/>
              </w:rPr>
              <w:t xml:space="preserve">от соответствующих сумм денежного довольствия военнослужащего: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оклад за звание; оклад </w:t>
              <w:br/>
              <w:t>за должность; процентная надбавка за выслугу лет</w:t>
            </w:r>
          </w:p>
          <w:p>
            <w:pPr>
              <w:pStyle w:val="Style18"/>
              <w:rPr>
                <w:rFonts w:ascii="Arial" w:hAnsi="Arial"/>
                <w:i/>
                <w:i/>
                <w:iCs/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10 059,52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рядовой;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14 384,03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сержант;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18 506,72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прапорщик;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24 290,14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ст. лейтенант;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26 550,73 руб. </w:t>
            </w:r>
            <w:r>
              <w:rPr>
                <w:rFonts w:ascii="Arial" w:hAnsi="Arial"/>
                <w:sz w:val="17"/>
                <w:szCs w:val="17"/>
              </w:rPr>
              <w:t>— капитан;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29 755,19 руб.</w:t>
            </w:r>
            <w:r>
              <w:rPr>
                <w:rFonts w:ascii="Arial" w:hAnsi="Arial"/>
                <w:sz w:val="17"/>
                <w:szCs w:val="17"/>
              </w:rPr>
              <w:t xml:space="preserve"> — майор;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32 687,06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подполковник;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37 079,70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полковник;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510"/>
              <w:rPr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17"/>
                <w:szCs w:val="17"/>
              </w:rPr>
              <w:t>45 992,75 руб.</w:t>
            </w:r>
            <w:r>
              <w:rPr>
                <w:rFonts w:ascii="Arial" w:hAnsi="Arial"/>
                <w:i w:val="false"/>
                <w:iCs w:val="false"/>
                <w:sz w:val="17"/>
                <w:szCs w:val="17"/>
              </w:rPr>
              <w:t xml:space="preserve"> — генерал-майор.</w:t>
            </w:r>
          </w:p>
          <w:p>
            <w:pPr>
              <w:pStyle w:val="Style18"/>
              <w:ind w:start="510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Выплата индексируется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РФ, СФР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Ежемесячная денежная выплата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>членам семей погибших (умерших) ветеранов боевых действий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2 640,01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  <w:r>
              <w:rPr>
                <w:rFonts w:ascii="Arial" w:hAnsi="Arial"/>
                <w:sz w:val="17"/>
                <w:szCs w:val="17"/>
              </w:rPr>
              <w:t xml:space="preserve"> (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814,76</w:t>
            </w:r>
            <w:r>
              <w:rPr>
                <w:rFonts w:ascii="Arial" w:hAnsi="Arial"/>
                <w:sz w:val="17"/>
                <w:szCs w:val="17"/>
              </w:rPr>
              <w:t xml:space="preserve"> руб. </w:t>
            </w:r>
            <w:r>
              <w:rPr>
                <w:rFonts w:eastAsia="Arial" w:cs="Arial"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sz w:val="17"/>
                <w:szCs w:val="17"/>
              </w:rPr>
              <w:t xml:space="preserve"> при сохранении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полного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набора социальных услуг</w:t>
            </w:r>
            <w:r>
              <w:rPr>
                <w:rFonts w:ascii="Arial" w:hAnsi="Arial"/>
                <w:sz w:val="17"/>
                <w:szCs w:val="17"/>
              </w:rPr>
              <w:t xml:space="preserve"> в натуральном виде).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СФР (МФЦ, Госуслуги)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Ежемесячная денежная компенсация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на оплату жилого помещения </w:t>
              <w:br/>
              <w:t>и коммунальных услуг</w:t>
            </w:r>
            <w:r>
              <w:rPr>
                <w:rFonts w:ascii="Arial" w:hAnsi="Arial"/>
                <w:sz w:val="17"/>
                <w:szCs w:val="17"/>
              </w:rPr>
              <w:t xml:space="preserve"> членам семей погибших (умерших) ветеранов боевых действий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50 %</w:t>
            </w:r>
            <w:r>
              <w:rPr>
                <w:rFonts w:ascii="Arial" w:hAnsi="Arial"/>
                <w:sz w:val="17"/>
                <w:szCs w:val="17"/>
              </w:rPr>
              <w:t xml:space="preserve"> от стоимости услуг</w:t>
            </w:r>
          </w:p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социальных выплат (МФЦ, Госуслуги)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Ежемесячная денежная компенсация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на оплату жилого помещения </w:t>
              <w:br/>
              <w:t>и коммунальных услуг</w:t>
            </w:r>
            <w:r>
              <w:rPr>
                <w:rFonts w:ascii="Arial" w:hAnsi="Arial"/>
                <w:sz w:val="17"/>
                <w:szCs w:val="17"/>
              </w:rPr>
              <w:t xml:space="preserve"> членам семей погибших при исполнении военнослужащих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60 %</w:t>
            </w:r>
            <w:r>
              <w:rPr>
                <w:rFonts w:ascii="Arial" w:hAnsi="Arial"/>
                <w:sz w:val="17"/>
                <w:szCs w:val="17"/>
              </w:rPr>
              <w:t xml:space="preserve"> от суммы понесенных расходов на ЖКУ</w:t>
            </w:r>
          </w:p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СФР (МФЦ, Госуслуги)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Выплата для проведения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ремонта индивидуального жилого дома</w:t>
            </w:r>
            <w:r>
              <w:rPr>
                <w:rFonts w:ascii="Arial" w:hAnsi="Arial"/>
                <w:sz w:val="17"/>
                <w:szCs w:val="17"/>
              </w:rPr>
              <w:t xml:space="preserve"> членам семей погибших при исполнении военнослужащих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Размер определяется с поправкой на коэффициенты,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учитывающие регионально-климатические условия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(один раз в 10 лет)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СФР (МФЦ, Госуслуги)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Субсидия</w:t>
            </w: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      </w: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при догазификации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100 000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Органы социальной защиты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100 % льгота по уплате транспортного налога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на одно транспортное средство до 150 л.с.</w:t>
            </w:r>
            <w:r>
              <w:rPr>
                <w:rFonts w:ascii="Arial" w:hAnsi="Arial"/>
                <w:sz w:val="17"/>
                <w:szCs w:val="17"/>
              </w:rPr>
              <w:t xml:space="preserve"> супругам участников СВО (за налоговые периоды 2022, 2023, 2024 и 2025 годов)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ФНС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Предоставление бесплатных земельных участков </w:t>
            </w: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членам семей погибших ветеранов боевых действий, удостоенных звания Героя России или награжденных орденами Российской Федерации за заслуги, проявленные в ходе СВО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Органы местного самоуправления (ОМСУ)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Бесплатное питание</w:t>
            </w:r>
            <w:r>
              <w:rPr>
                <w:rFonts w:ascii="Arial" w:hAnsi="Arial"/>
                <w:sz w:val="17"/>
                <w:szCs w:val="17"/>
              </w:rPr>
              <w:t xml:space="preserve"> детей участников СВО в школах (5-11 классы) и учреждениях среднего профессионального образования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4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Освобождение от родительской платы*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за</w:t>
            </w:r>
            <w:r>
              <w:rPr>
                <w:rFonts w:ascii="Arial" w:hAnsi="Arial"/>
                <w:sz w:val="17"/>
                <w:szCs w:val="17"/>
              </w:rPr>
              <w:t xml:space="preserve"> уход за детьми в муниципальных дошкольных образовательных организациях 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*условия предоставления уточнять в администрации муниципалитета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sz w:val="16"/>
                <w:szCs w:val="24"/>
              </w:rPr>
              <w:t>Отсрочка оплаты за обучение</w:t>
            </w:r>
            <w:r>
              <w:rPr>
                <w:rFonts w:ascii="Arial" w:hAnsi="Arial"/>
                <w:sz w:val="16"/>
                <w:szCs w:val="24"/>
              </w:rPr>
              <w:t xml:space="preserve"> в учреждениях среднего профессионального образования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Перевод студентов</w:t>
            </w:r>
            <w:r>
              <w:rPr>
                <w:rFonts w:ascii="Arial" w:hAnsi="Arial"/>
                <w:sz w:val="17"/>
                <w:szCs w:val="17"/>
              </w:rPr>
              <w:t xml:space="preserve">, обучающихся по очной форме среднего профессионального образования,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с платной на бесплатную основу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Государственная поддержка</w:t>
            </w:r>
            <w:r>
              <w:rPr>
                <w:rFonts w:ascii="Arial" w:hAnsi="Arial"/>
                <w:sz w:val="17"/>
                <w:szCs w:val="17"/>
              </w:rPr>
              <w:t xml:space="preserve"> на отдых и оздоровление детей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4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ОМСУ </w:t>
            </w:r>
          </w:p>
          <w:p>
            <w:pPr>
              <w:pStyle w:val="Normal"/>
              <w:spacing w:before="0" w:after="14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(ГосуслугиРФ, МФЦ)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  <w:szCs w:val="17"/>
                <w:shd w:fill="auto" w:val="clear"/>
              </w:rPr>
              <w:t xml:space="preserve">Трудоустройство и переобучение членов семей участников СВО, </w:t>
            </w: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включает в себя: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поддержка по профориентации, социальной адаптации, психологической поддержке;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составление резюме и подбор подходящей работы;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содействие в прохождении профессионального переобучения для трудоустройства;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привлечение в работу «Женских клубов» при территориальных отделениях Кадрового центра «Работа России» региона;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567"/>
              <w:rPr>
                <w:highlight w:val="none"/>
                <w:shd w:fill="auto" w:val="clear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консультирование об услугах центра «Мой бизнес».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Кадровый центр </w:t>
              <w:br/>
              <w:t>«Работа России»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Обучающая программа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«СВОе дело»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Центр поддержки предпринимательства «Мой бизнес»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Бесплатное оказание юридической помощи </w:t>
            </w:r>
            <w:r>
              <w:rPr>
                <w:rFonts w:ascii="Arial" w:hAnsi="Arial"/>
                <w:sz w:val="17"/>
                <w:szCs w:val="17"/>
              </w:rPr>
              <w:t>лицам, призванным по мобилизации, лицам, заключившим контракт о прохождении военной службы для участия в СВО и членам их семей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Государственное юридическое бюро (Госюрбюро)</w:t>
            </w:r>
          </w:p>
        </w:tc>
      </w:tr>
      <w:tr>
        <w:trPr>
          <w:trHeight w:val="1332" w:hRule="atLeast"/>
        </w:trPr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Бесплатное оказание психологической помощи 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Образовательные и медицинские организации;</w:t>
            </w:r>
          </w:p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АНО «Комитет семей воинов Отечества Пермского края»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10541"/>
      </w:tblGrid>
      <w:tr>
        <w:trPr>
          <w:tblHeader w:val="true"/>
        </w:trPr>
        <w:tc>
          <w:tcPr>
            <w:tcW w:w="10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Система сопровождения участников СВО и членов их семей</w:t>
            </w:r>
          </w:p>
        </w:tc>
      </w:tr>
      <w:tr>
        <w:trPr/>
        <w:tc>
          <w:tcPr>
            <w:tcW w:w="105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numPr>
                <w:ilvl w:val="0"/>
                <w:numId w:val="3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Филиал Государственного фонда поддержки участников СВО «Защитники Отечества» по Пермскому краю </w:t>
              <w:br/>
              <w:t xml:space="preserve">(работа с ветеранами боевых действий, принимавшими участие в СВО, и членами семей погибших ветеранов боевых действий, принимавших участие в СВО)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2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https://vk.com/public220920611</w:t>
              </w:r>
            </w:hyperlink>
            <w:r>
              <w:rPr>
                <w:rStyle w:val="Hyperlink"/>
                <w:rFonts w:eastAsia="Times New Roman" w:cs="Times New Roman" w:ascii="Arial" w:hAnsi="Arial"/>
                <w:b/>
                <w:bCs/>
                <w:color w:val="8D281E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Служба социальных участковых</w:t>
            </w:r>
            <w:r>
              <w:rPr>
                <w:rFonts w:ascii="Arial" w:hAnsi="Arial"/>
                <w:sz w:val="17"/>
                <w:szCs w:val="17"/>
              </w:rPr>
              <w:t xml:space="preserve"> (на базе территориальных управлений Министерства труда и социального развития Пермского края)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3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https://clck.ru/3PztRv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Муниципальные центры «Помощь здесь» </w:t>
            </w:r>
            <w:r>
              <w:rPr>
                <w:rFonts w:ascii="Arial" w:hAnsi="Arial"/>
                <w:sz w:val="17"/>
                <w:szCs w:val="17"/>
              </w:rPr>
              <w:t xml:space="preserve">(на базе администраций муниципальных образований Пермского края)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— </w:t>
            </w:r>
            <w:hyperlink r:id="rId4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https://clck.ru/3Pzstu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АНО «Комитет семей воинов Отечества Пермского края» </w:t>
            </w:r>
            <w:r>
              <w:rPr>
                <w:rFonts w:eastAsia="Arial" w:cs="Arial"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hyperlink r:id="rId5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https://ксво59.рф/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Единая горячая линия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«Региональные выплаты участникам СВО» — </w:t>
            </w:r>
            <w:r>
              <w:rPr>
                <w:rFonts w:ascii="Arial" w:hAnsi="Arial"/>
                <w:b/>
                <w:bCs/>
                <w:color w:val="8D281E"/>
                <w:sz w:val="17"/>
                <w:szCs w:val="17"/>
              </w:rPr>
              <w:t>+7 (952) 66 475 22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150495</wp:posOffset>
            </wp:positionH>
            <wp:positionV relativeFrom="paragraph">
              <wp:posOffset>140970</wp:posOffset>
            </wp:positionV>
            <wp:extent cx="980440" cy="980440"/>
            <wp:effectExtent l="0" t="0" r="0" b="0"/>
            <wp:wrapSquare wrapText="largest"/>
            <wp:docPr id="1" name="Изображение3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5170805</wp:posOffset>
            </wp:positionH>
            <wp:positionV relativeFrom="paragraph">
              <wp:posOffset>130175</wp:posOffset>
            </wp:positionV>
            <wp:extent cx="1017905" cy="1017905"/>
            <wp:effectExtent l="0" t="0" r="0" b="0"/>
            <wp:wrapSquare wrapText="largest"/>
            <wp:docPr id="2" name="Изображение4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2702560</wp:posOffset>
            </wp:positionH>
            <wp:positionV relativeFrom="paragraph">
              <wp:posOffset>136525</wp:posOffset>
            </wp:positionV>
            <wp:extent cx="1038225" cy="1038225"/>
            <wp:effectExtent l="0" t="0" r="0" b="0"/>
            <wp:wrapSquare wrapText="largest"/>
            <wp:docPr id="3" name="Изображение5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397" w:end="0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Госуслуги РФ                                    Фонд «Защитники Отечества»                      Минтруда и соцразвития </w:t>
        <w:tab/>
        <w:tab/>
        <w:tab/>
        <w:tab/>
        <w:tab/>
        <w:tab/>
        <w:tab/>
        <w:tab/>
        <w:tab/>
        <w:tab/>
        <w:t xml:space="preserve">                      Пермского края    </w:t>
        <w:b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  <w:sz w:val="18"/>
      <w:szCs w:val="18"/>
    </w:rPr>
  </w:style>
  <w:style w:type="character" w:styleId="Style15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9"/>
        <w:tab w:val="center" w:pos="5103" w:leader="none"/>
        <w:tab w:val="right" w:pos="10206" w:leader="none"/>
      </w:tabs>
    </w:pPr>
    <w:rPr/>
  </w:style>
  <w:style w:type="paragraph" w:styleId="Footer">
    <w:name w:val="Foot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public220920611" TargetMode="External"/><Relationship Id="rId3" Type="http://schemas.openxmlformats.org/officeDocument/2006/relationships/hyperlink" Target="https://clck.ru/3PztRv" TargetMode="External"/><Relationship Id="rId4" Type="http://schemas.openxmlformats.org/officeDocument/2006/relationships/hyperlink" Target="https://clck.ru/3Pzstu" TargetMode="External"/><Relationship Id="rId5" Type="http://schemas.openxmlformats.org/officeDocument/2006/relationships/hyperlink" Target="https://&#1082;&#1089;&#1074;&#1086;59.&#1088;&#1092;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LibreOffice/7.6.7.2$Linux_X86_64 LibreOffice_project/60$Build-2</Application>
  <AppVersion>15.0000</AppVersion>
  <Pages>2</Pages>
  <Words>785</Words>
  <Characters>5271</Characters>
  <CharactersWithSpaces>6091</CharactersWithSpaces>
  <Paragraphs>99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2025-09-16T16:49:19Z</dcterms:created>
  <dc:creator/>
  <dc:description/>
  <dc:language>ru-RU</dc:language>
  <cp:lastModifiedBy/>
  <cp:lastPrinted>2025-11-05T10:29:04Z</cp:lastPrinted>
  <dcterms:modified xsi:type="dcterms:W3CDTF">2026-05-21T11:34:45Z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