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ПРОГНОЗ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социально-экономического развития города Перми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на 202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год и период до 202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. Основные положения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П</w:t>
      </w:r>
      <w:r>
        <w:rPr>
          <w:highlight w:val="none"/>
        </w:rPr>
        <w:t xml:space="preserve">рогноз социально-экономического развития города Перми на 202</w:t>
      </w:r>
      <w:r>
        <w:rPr>
          <w:highlight w:val="none"/>
        </w:rPr>
        <w:t xml:space="preserve">6</w:t>
      </w:r>
      <w:r>
        <w:rPr>
          <w:highlight w:val="none"/>
        </w:rPr>
        <w:t xml:space="preserve"> год </w:t>
      </w:r>
      <w:r>
        <w:rPr>
          <w:highlight w:val="none"/>
        </w:rPr>
        <w:br/>
      </w:r>
      <w:r>
        <w:rPr>
          <w:highlight w:val="none"/>
        </w:rPr>
        <w:t xml:space="preserve">и период до 202</w:t>
      </w:r>
      <w:r>
        <w:rPr>
          <w:highlight w:val="none"/>
        </w:rPr>
        <w:t xml:space="preserve">8</w:t>
      </w:r>
      <w:r>
        <w:rPr>
          <w:highlight w:val="none"/>
        </w:rPr>
        <w:t xml:space="preserve"> года (далее - Прогноз) основан на итогах </w:t>
      </w:r>
      <w:r>
        <w:rPr>
          <w:highlight w:val="none"/>
        </w:rPr>
        <w:br/>
      </w:r>
      <w:r>
        <w:rPr>
          <w:highlight w:val="none"/>
        </w:rPr>
        <w:t xml:space="preserve">социально-экономического развития города Перми</w:t>
      </w:r>
      <w:r>
        <w:rPr>
          <w:highlight w:val="none"/>
        </w:rPr>
        <w:t xml:space="preserve"> за 2024</w:t>
      </w:r>
      <w:r>
        <w:rPr>
          <w:highlight w:val="none"/>
        </w:rPr>
        <w:t xml:space="preserve"> год и</w:t>
      </w:r>
      <w:r>
        <w:rPr>
          <w:highlight w:val="none"/>
        </w:rPr>
        <w:t xml:space="preserve"> </w:t>
      </w:r>
      <w:r>
        <w:rPr>
          <w:highlight w:val="none"/>
        </w:rPr>
        <w:t xml:space="preserve">8</w:t>
      </w:r>
      <w:r>
        <w:rPr>
          <w:highlight w:val="none"/>
        </w:rPr>
        <w:t xml:space="preserve"> месяцев</w:t>
      </w:r>
      <w:r>
        <w:rPr>
          <w:highlight w:val="none"/>
        </w:rPr>
        <w:t xml:space="preserve"> </w:t>
      </w:r>
      <w:r>
        <w:rPr>
          <w:highlight w:val="none"/>
        </w:rPr>
        <w:br/>
      </w:r>
      <w:r>
        <w:rPr>
          <w:highlight w:val="none"/>
        </w:rPr>
        <w:t xml:space="preserve">2025 </w:t>
      </w:r>
      <w:r>
        <w:rPr>
          <w:highlight w:val="none"/>
        </w:rPr>
        <w:t xml:space="preserve">года, </w:t>
      </w:r>
      <w:r>
        <w:rPr>
          <w:highlight w:val="none"/>
        </w:rPr>
        <w:t xml:space="preserve">а также планов-прогнозо</w:t>
      </w:r>
      <w:r>
        <w:rPr>
          <w:highlight w:val="none"/>
        </w:rPr>
        <w:t xml:space="preserve">в </w:t>
      </w:r>
      <w:r>
        <w:rPr>
          <w:highlight w:val="none"/>
        </w:rPr>
        <w:t xml:space="preserve">3</w:t>
      </w:r>
      <w:r>
        <w:rPr>
          <w:highlight w:val="none"/>
        </w:rPr>
        <w:t xml:space="preserve">6</w:t>
      </w:r>
      <w:r>
        <w:rPr>
          <w:highlight w:val="none"/>
        </w:rPr>
        <w:t xml:space="preserve"> </w:t>
      </w:r>
      <w:r>
        <w:rPr>
          <w:highlight w:val="none"/>
        </w:rPr>
        <w:t xml:space="preserve">круп</w:t>
      </w:r>
      <w:r>
        <w:rPr>
          <w:highlight w:val="none"/>
        </w:rPr>
        <w:t xml:space="preserve">ных и средних предприятий </w:t>
      </w:r>
      <w:r>
        <w:rPr>
          <w:highlight w:val="none"/>
        </w:rPr>
        <w:br/>
      </w:r>
      <w:r>
        <w:rPr>
          <w:highlight w:val="none"/>
        </w:rPr>
        <w:t xml:space="preserve">города Перми.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Прогноз разработан по </w:t>
      </w:r>
      <w:r>
        <w:rPr>
          <w:highlight w:val="none"/>
        </w:rPr>
        <w:t xml:space="preserve">двум</w:t>
      </w:r>
      <w:r>
        <w:rPr>
          <w:highlight w:val="none"/>
        </w:rPr>
        <w:t xml:space="preserve"> основным вариантам сценариев согласно постановлению администрации города Перми от 23 апреля 2010 г. № 207 </w:t>
      </w:r>
      <w:r>
        <w:rPr>
          <w:highlight w:val="none"/>
        </w:rPr>
        <w:br/>
        <w:t xml:space="preserve">«О Порядке разработки прогноза социально-экономического развития города </w:t>
      </w:r>
      <w:r>
        <w:rPr>
          <w:highlight w:val="none"/>
        </w:rPr>
        <w:t xml:space="preserve">Перми на очередной финансовый год и плановый период».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Для расчета Прогноза учитывалась динамика изменения показателей, отраженная </w:t>
      </w:r>
      <w:r>
        <w:rPr>
          <w:highlight w:val="none"/>
        </w:rPr>
        <w:t xml:space="preserve">в </w:t>
      </w:r>
      <w:r>
        <w:rPr>
          <w:highlight w:val="none"/>
        </w:rPr>
        <w:t xml:space="preserve">Прогнозе социально-экономического развития</w:t>
      </w:r>
      <w:r>
        <w:rPr>
          <w:highlight w:val="none"/>
        </w:rPr>
        <w:t xml:space="preserve"> Российской Федерации </w:t>
      </w:r>
      <w:r>
        <w:rPr>
          <w:highlight w:val="none"/>
        </w:rPr>
        <w:t xml:space="preserve">на 2026 год и на плановый период 2027 и 2028 годов</w:t>
      </w:r>
      <w:r>
        <w:rPr>
          <w:highlight w:val="none"/>
        </w:rPr>
        <w:t xml:space="preserve">, а также </w:t>
        <w:br/>
      </w:r>
      <w:r>
        <w:rPr>
          <w:highlight w:val="none"/>
        </w:rPr>
        <w:t xml:space="preserve">в Сценарных условиях для формирования вариантов развития экономики Пермского края и основных показателях прогноза социально-экономического развития </w:t>
      </w:r>
      <w:r>
        <w:rPr>
          <w:highlight w:val="none"/>
        </w:rPr>
        <w:t xml:space="preserve">Пермского края на период до 2028</w:t>
      </w:r>
      <w:r>
        <w:rPr>
          <w:highlight w:val="none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Сценарии для развития экономики города Перми разработаны исходя </w:t>
      </w:r>
      <w:r>
        <w:rPr>
          <w:highlight w:val="none"/>
        </w:rPr>
        <w:br/>
        <w:t xml:space="preserve">из анализа внешнеполитических рисков, проводимой внутренней </w:t>
      </w:r>
      <w:r>
        <w:rPr>
          <w:highlight w:val="none"/>
        </w:rPr>
        <w:br/>
      </w:r>
      <w:r>
        <w:rPr>
          <w:highlight w:val="none"/>
        </w:rPr>
        <w:t xml:space="preserve">финансово-кредитной политики Российской Федерации, динамики развития предприятий города, а также с учетом тенденций, сложившихся в развитии экономики </w:t>
      </w:r>
      <w:r>
        <w:rPr>
          <w:highlight w:val="none"/>
        </w:rPr>
        <w:t xml:space="preserve">в </w:t>
      </w:r>
      <w:r>
        <w:rPr>
          <w:highlight w:val="none"/>
        </w:rPr>
        <w:t xml:space="preserve">январе-августе</w:t>
      </w:r>
      <w:r>
        <w:rPr>
          <w:highlight w:val="none"/>
        </w:rPr>
        <w:t xml:space="preserve"> </w:t>
      </w:r>
      <w:r>
        <w:rPr>
          <w:highlight w:val="none"/>
        </w:rPr>
        <w:t xml:space="preserve">202</w:t>
      </w:r>
      <w:r>
        <w:rPr>
          <w:highlight w:val="none"/>
        </w:rPr>
        <w:t xml:space="preserve">5</w:t>
      </w:r>
      <w:r>
        <w:rPr>
          <w:highlight w:val="none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Базовый сценарий </w:t>
      </w:r>
      <w:r>
        <w:rPr>
          <w:highlight w:val="none"/>
        </w:rPr>
        <w:t xml:space="preserve">описывает наиболее вероятный сценарий развития российской экономики </w:t>
      </w:r>
      <w:r>
        <w:rPr>
          <w:highlight w:val="none"/>
        </w:rPr>
        <w:t xml:space="preserve">с учетом </w:t>
      </w:r>
      <w:r>
        <w:rPr>
          <w:highlight w:val="none"/>
        </w:rPr>
        <w:t xml:space="preserve">сохранения текущего уровня санкционного давления на российскую экономику</w:t>
      </w:r>
      <w:r>
        <w:rPr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процесса переориентации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приоритетных направлений внешней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орговли в сторону нейтральных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дружественных стран,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восстановления экспорта за счет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развития соответствующих новых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логистических и производственных цепочек,</w:t>
      </w:r>
      <w:r>
        <w:rPr>
          <w:highlight w:val="none"/>
        </w:rPr>
        <w:t xml:space="preserve"> а также с учетом принимаемых мер экономической политики, в том числе в рамках новых национальных проектов, обозначенных </w:t>
      </w:r>
      <w:r>
        <w:rPr>
          <w:highlight w:val="none"/>
        </w:rPr>
        <w:t xml:space="preserve">Президентом</w:t>
      </w:r>
      <w:r>
        <w:rPr>
          <w:highlight w:val="none"/>
        </w:rPr>
        <w:t xml:space="preserve"> России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Консервативный </w:t>
      </w:r>
      <w:r>
        <w:rPr>
          <w:highlight w:val="none"/>
        </w:rPr>
        <w:t xml:space="preserve">сценарий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предполагает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усиление санкционного давления через вторичные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санкции,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рост дисбалансов в мировой экономике из-за торговых войн,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и, соответстве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нно,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более медленный рост мирового спроса на нефть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br/>
      </w:r>
      <w:r>
        <w:rPr>
          <w:highlight w:val="none"/>
        </w:rPr>
        <w:t xml:space="preserve">Б</w:t>
      </w:r>
      <w:r>
        <w:rPr>
          <w:highlight w:val="none"/>
        </w:rPr>
        <w:t xml:space="preserve">олее медленное смягчение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денежно-кредитных условий приведет к более низким темпам</w:t>
      </w:r>
      <w:r>
        <w:rPr>
          <w:highlight w:val="none"/>
        </w:rPr>
        <w:t xml:space="preserve"> </w:t>
      </w:r>
      <w:r>
        <w:rPr>
          <w:highlight w:val="none"/>
        </w:rPr>
        <w:t xml:space="preserve">кредитования экономики, что отразится на инвестиционной </w:t>
      </w:r>
      <w:r>
        <w:rPr>
          <w:highlight w:val="none"/>
        </w:rPr>
        <w:br/>
      </w:r>
      <w:r>
        <w:rPr>
          <w:highlight w:val="none"/>
        </w:rPr>
        <w:t xml:space="preserve">и потребительской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активности.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Корректировка прогноза социально-экономического развития города Перми по сравн</w:t>
      </w:r>
      <w:r>
        <w:rPr>
          <w:highlight w:val="none"/>
        </w:rPr>
        <w:t xml:space="preserve">ению с прогнозом социально-экономического развития на 2025-2027 годы основана на динамике показателей социально-экономического развития </w:t>
      </w:r>
      <w:r>
        <w:rPr>
          <w:highlight w:val="none"/>
        </w:rPr>
        <w:br/>
      </w:r>
      <w:r>
        <w:rPr>
          <w:highlight w:val="none"/>
        </w:rPr>
        <w:t xml:space="preserve">за </w:t>
      </w:r>
      <w:r>
        <w:rPr>
          <w:highlight w:val="none"/>
        </w:rPr>
        <w:t xml:space="preserve">январь-август 2025 года, среднесрочном прогнозе социально-экономического развития Российской Федерации до 2028 года, </w:t>
      </w:r>
      <w:r>
        <w:rPr>
          <w:highlight w:val="none"/>
        </w:rPr>
        <w:t xml:space="preserve">Сценарных условиях </w:t>
      </w:r>
      <w:r>
        <w:rPr>
          <w:highlight w:val="none"/>
        </w:rPr>
        <w:br/>
      </w:r>
      <w:r>
        <w:rPr>
          <w:highlight w:val="none"/>
        </w:rPr>
        <w:t xml:space="preserve">для формирования вариантов развития экономики Пермского края и основных показателях прогноза социально-экономического развития </w:t>
      </w:r>
      <w:r>
        <w:rPr>
          <w:highlight w:val="none"/>
        </w:rPr>
        <w:t xml:space="preserve">Пермского края </w:t>
      </w:r>
      <w:r>
        <w:rPr>
          <w:highlight w:val="none"/>
        </w:rPr>
        <w:br/>
      </w:r>
      <w:r>
        <w:rPr>
          <w:highlight w:val="none"/>
        </w:rPr>
        <w:t xml:space="preserve">на период до 2028</w:t>
      </w:r>
      <w:r>
        <w:rPr>
          <w:highlight w:val="none"/>
        </w:rPr>
        <w:t xml:space="preserve"> года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Сценарные</w:t>
      </w:r>
      <w:r>
        <w:rPr>
          <w:highlight w:val="none"/>
        </w:rPr>
        <w:t xml:space="preserve"> условия и параметры </w:t>
      </w:r>
      <w:r>
        <w:rPr>
          <w:highlight w:val="none"/>
        </w:rPr>
        <w:t xml:space="preserve">прогноза социально-экономического развития города Перми на период до 202</w:t>
      </w:r>
      <w:r>
        <w:rPr>
          <w:highlight w:val="none"/>
        </w:rPr>
        <w:t xml:space="preserve">8</w:t>
      </w:r>
      <w:r>
        <w:rPr>
          <w:highlight w:val="none"/>
        </w:rPr>
        <w:t xml:space="preserve"> года приведены </w:t>
      </w:r>
      <w:r>
        <w:rPr>
          <w:highlight w:val="none"/>
        </w:rPr>
        <w:br/>
      </w:r>
      <w:r>
        <w:rPr>
          <w:highlight w:val="none"/>
        </w:rPr>
        <w:t xml:space="preserve">в Приложении к настоящему Прогнозу.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green"/>
        </w:rPr>
      </w:pPr>
      <w:r>
        <w:rPr>
          <w:highlight w:val="green"/>
        </w:rPr>
      </w:r>
      <w:r>
        <w:rPr>
          <w:highlight w:val="green"/>
        </w:rPr>
      </w:r>
      <w:r>
        <w:rPr>
          <w:highlight w:val="green"/>
        </w:rPr>
      </w:r>
    </w:p>
    <w:p>
      <w:pPr>
        <w:pStyle w:val="967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Уровен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 жизни населения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По итогам 2024 года фонд заработной платы по крупным и средним</w:t>
      </w:r>
      <w:r>
        <w:rPr>
          <w:highlight w:val="none"/>
        </w:rPr>
        <w:br/>
      </w:r>
      <w:r>
        <w:rPr>
          <w:highlight w:val="none"/>
        </w:rPr>
        <w:t xml:space="preserve">предприятиям города составил 292,4 млрд. руб., увеличившись на 18,7 %</w:t>
      </w:r>
      <w:r>
        <w:rPr>
          <w:highlight w:val="none"/>
        </w:rPr>
        <w:br/>
      </w:r>
      <w:r>
        <w:rPr>
          <w:highlight w:val="none"/>
        </w:rPr>
        <w:t xml:space="preserve">(на 46,1 млрд. руб.) по сравнению с 2023 годом.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Наибольший удельный вес в структуре формирования фонда заработной</w:t>
      </w:r>
      <w:r>
        <w:rPr>
          <w:highlight w:val="none"/>
        </w:rPr>
        <w:br/>
      </w:r>
      <w:r>
        <w:rPr>
          <w:highlight w:val="none"/>
        </w:rPr>
        <w:t xml:space="preserve">платы и, соответственно, налога на доходы физических лиц имеют</w:t>
      </w:r>
      <w:r>
        <w:rPr>
          <w:highlight w:val="none"/>
        </w:rPr>
        <w:br/>
      </w:r>
      <w:r>
        <w:rPr>
          <w:highlight w:val="none"/>
        </w:rPr>
        <w:t xml:space="preserve">обрабатывающие производства – 95,9 млрд. руб. (125,8 % к уровню 2023 года).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Наибольший вклад в рост фонда заработной платы зафиксирован</w:t>
      </w:r>
      <w:r>
        <w:rPr>
          <w:highlight w:val="white"/>
        </w:rPr>
        <w:t xml:space="preserve"> </w:t>
      </w:r>
      <w:r>
        <w:rPr>
          <w:highlight w:val="white"/>
        </w:rPr>
        <w:br/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административной деятельности (127,4 % к уровню 2024 года), </w:t>
      </w:r>
      <w:r>
        <w:rPr>
          <w:highlight w:val="white"/>
        </w:rPr>
        <w:br/>
      </w:r>
      <w:r>
        <w:rPr>
          <w:highlight w:val="white"/>
        </w:rPr>
        <w:t xml:space="preserve">в обрабатывающих </w:t>
      </w:r>
      <w:r>
        <w:rPr>
          <w:highlight w:val="white"/>
        </w:rPr>
        <w:t xml:space="preserve">производствах (125,8 %),</w:t>
      </w:r>
      <w:r>
        <w:rPr>
          <w:highlight w:val="white"/>
        </w:rPr>
        <w:t xml:space="preserve"> в строительстве (123,2 %). 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В январе</w:t>
      </w:r>
      <w:r>
        <w:rPr>
          <w:highlight w:val="none"/>
        </w:rPr>
        <w:t xml:space="preserve">-</w:t>
      </w:r>
      <w:r>
        <w:rPr>
          <w:highlight w:val="none"/>
        </w:rPr>
        <w:t xml:space="preserve">июле</w:t>
      </w:r>
      <w:r>
        <w:rPr>
          <w:highlight w:val="none"/>
        </w:rPr>
        <w:t xml:space="preserve"> </w:t>
      </w:r>
      <w:r>
        <w:rPr>
          <w:highlight w:val="none"/>
        </w:rPr>
        <w:t xml:space="preserve">202</w:t>
      </w:r>
      <w:r>
        <w:rPr>
          <w:highlight w:val="none"/>
        </w:rPr>
        <w:t xml:space="preserve">5</w:t>
      </w:r>
      <w:r>
        <w:rPr>
          <w:highlight w:val="none"/>
        </w:rPr>
        <w:t xml:space="preserve"> года фонд </w:t>
      </w:r>
      <w:r>
        <w:rPr>
          <w:highlight w:val="none"/>
        </w:rPr>
        <w:t xml:space="preserve">заработной платы работников крупных</w:t>
      </w:r>
      <w:r>
        <w:rPr>
          <w:highlight w:val="none"/>
        </w:rPr>
        <w:t xml:space="preserve"> </w:t>
      </w:r>
      <w:r>
        <w:rPr>
          <w:highlight w:val="none"/>
        </w:rPr>
        <w:br/>
      </w:r>
      <w:r>
        <w:rPr>
          <w:highlight w:val="none"/>
        </w:rPr>
        <w:t xml:space="preserve">и средни</w:t>
      </w:r>
      <w:r>
        <w:rPr>
          <w:highlight w:val="none"/>
        </w:rPr>
        <w:t xml:space="preserve">х</w:t>
      </w:r>
      <w:r>
        <w:rPr>
          <w:highlight w:val="none"/>
        </w:rPr>
        <w:t xml:space="preserve"> предприяти</w:t>
      </w:r>
      <w:r>
        <w:rPr>
          <w:highlight w:val="none"/>
        </w:rPr>
        <w:t xml:space="preserve">й</w:t>
      </w:r>
      <w:r>
        <w:rPr>
          <w:highlight w:val="none"/>
        </w:rPr>
        <w:t xml:space="preserve"> города составил </w:t>
      </w:r>
      <w:r>
        <w:rPr>
          <w:highlight w:val="none"/>
        </w:rPr>
        <w:t xml:space="preserve">187,2</w:t>
      </w:r>
      <w:r>
        <w:rPr>
          <w:highlight w:val="none"/>
        </w:rPr>
        <w:t xml:space="preserve"> млрд. руб., увеличившись </w:t>
      </w:r>
      <w:r>
        <w:rPr>
          <w:highlight w:val="none"/>
        </w:rPr>
        <w:br/>
      </w:r>
      <w:r>
        <w:rPr>
          <w:highlight w:val="none"/>
        </w:rPr>
        <w:t xml:space="preserve">на </w:t>
      </w:r>
      <w:r>
        <w:rPr>
          <w:highlight w:val="none"/>
        </w:rPr>
        <w:t xml:space="preserve">16,2</w:t>
      </w:r>
      <w:r>
        <w:rPr>
          <w:highlight w:val="none"/>
        </w:rPr>
        <w:t xml:space="preserve"> </w:t>
      </w:r>
      <w:r>
        <w:rPr>
          <w:highlight w:val="none"/>
        </w:rPr>
        <w:t xml:space="preserve">% </w:t>
      </w:r>
      <w:r>
        <w:rPr>
          <w:highlight w:val="none"/>
        </w:rPr>
        <w:t xml:space="preserve">по сравнению с </w:t>
      </w:r>
      <w:r>
        <w:rPr>
          <w:highlight w:val="none"/>
        </w:rPr>
        <w:t xml:space="preserve">аналогичным периодом 20</w:t>
      </w:r>
      <w:r>
        <w:rPr>
          <w:highlight w:val="none"/>
        </w:rPr>
        <w:t xml:space="preserve">2</w:t>
      </w:r>
      <w:r>
        <w:rPr>
          <w:highlight w:val="none"/>
        </w:rPr>
        <w:t xml:space="preserve">4</w:t>
      </w:r>
      <w:r>
        <w:rPr>
          <w:highlight w:val="none"/>
        </w:rPr>
        <w:t xml:space="preserve"> год</w:t>
      </w:r>
      <w:r>
        <w:rPr>
          <w:highlight w:val="none"/>
        </w:rPr>
        <w:t xml:space="preserve">а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За </w:t>
      </w:r>
      <w:r>
        <w:rPr>
          <w:highlight w:val="none"/>
        </w:rPr>
        <w:t xml:space="preserve">7</w:t>
      </w:r>
      <w:r>
        <w:rPr>
          <w:highlight w:val="none"/>
        </w:rPr>
        <w:t xml:space="preserve"> месяцев</w:t>
      </w:r>
      <w:r>
        <w:rPr>
          <w:highlight w:val="none"/>
        </w:rPr>
        <w:t xml:space="preserve"> 202</w:t>
      </w:r>
      <w:r>
        <w:rPr>
          <w:highlight w:val="none"/>
        </w:rPr>
        <w:t xml:space="preserve">5</w:t>
      </w:r>
      <w:r>
        <w:rPr>
          <w:highlight w:val="none"/>
        </w:rPr>
        <w:t xml:space="preserve"> года наибольший рост фонда заработной платы </w:t>
      </w:r>
      <w:r>
        <w:rPr>
          <w:highlight w:val="none"/>
        </w:rPr>
        <w:t xml:space="preserve">наблюдался </w:t>
      </w:r>
      <w:r>
        <w:rPr>
          <w:highlight w:val="none"/>
        </w:rPr>
        <w:t xml:space="preserve">в сельском и лесном хозяйстве</w:t>
      </w:r>
      <w:r>
        <w:rPr>
          <w:highlight w:val="none"/>
        </w:rPr>
        <w:t xml:space="preserve"> </w:t>
      </w:r>
      <w:r>
        <w:rPr>
          <w:highlight w:val="none"/>
        </w:rPr>
        <w:t xml:space="preserve">– </w:t>
      </w:r>
      <w:r>
        <w:rPr>
          <w:highlight w:val="none"/>
        </w:rPr>
        <w:t xml:space="preserve">136,3</w:t>
      </w:r>
      <w:r>
        <w:rPr>
          <w:highlight w:val="none"/>
        </w:rPr>
        <w:t xml:space="preserve"> % </w:t>
      </w:r>
      <w:r>
        <w:rPr>
          <w:highlight w:val="none"/>
        </w:rPr>
        <w:t xml:space="preserve">к соответствующему периоду прошлого года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строительстве – 124,5 %</w:t>
      </w:r>
      <w:r>
        <w:rPr>
          <w:highlight w:val="none"/>
        </w:rPr>
        <w:t xml:space="preserve">,</w:t>
      </w:r>
      <w:r>
        <w:rPr>
          <w:highlight w:val="none"/>
        </w:rPr>
        <w:t xml:space="preserve"> </w:t>
      </w:r>
      <w:r>
        <w:rPr>
          <w:highlight w:val="none"/>
        </w:rPr>
        <w:t xml:space="preserve">в деятельности по операциям </w:t>
      </w:r>
      <w:r>
        <w:rPr>
          <w:highlight w:val="none"/>
        </w:rPr>
        <w:br/>
      </w:r>
      <w:r>
        <w:rPr>
          <w:highlight w:val="none"/>
        </w:rPr>
        <w:t xml:space="preserve">с недвижимостью </w:t>
      </w:r>
      <w:r>
        <w:rPr>
          <w:highlight w:val="none"/>
        </w:rPr>
        <w:t xml:space="preserve">– </w:t>
      </w:r>
      <w:r>
        <w:rPr>
          <w:highlight w:val="none"/>
        </w:rPr>
        <w:t xml:space="preserve">124,1</w:t>
      </w:r>
      <w:r>
        <w:rPr>
          <w:highlight w:val="none"/>
        </w:rPr>
        <w:t xml:space="preserve"> %</w:t>
      </w:r>
      <w:r>
        <w:rPr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х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,9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%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1 января 2025 года МРОТ </w:t>
      </w:r>
      <w:r>
        <w:rPr>
          <w:sz w:val="28"/>
          <w:szCs w:val="28"/>
          <w:highlight w:val="none"/>
        </w:rPr>
        <w:t xml:space="preserve">проиндексирован</w:t>
      </w:r>
      <w:r>
        <w:rPr>
          <w:sz w:val="28"/>
          <w:szCs w:val="28"/>
          <w:highlight w:val="none"/>
        </w:rPr>
        <w:t xml:space="preserve"> на 16,6 % и состав</w:t>
      </w:r>
      <w:r>
        <w:rPr>
          <w:sz w:val="28"/>
          <w:szCs w:val="28"/>
          <w:highlight w:val="none"/>
        </w:rPr>
        <w:t xml:space="preserve">ил</w:t>
      </w:r>
      <w:r>
        <w:rPr>
          <w:sz w:val="28"/>
          <w:szCs w:val="28"/>
          <w:highlight w:val="none"/>
        </w:rPr>
        <w:t xml:space="preserve"> </w:t>
      </w:r>
      <w:r>
        <w:rPr>
          <w:highlight w:val="none"/>
        </w:rPr>
        <w:br/>
      </w:r>
      <w:r>
        <w:rPr>
          <w:sz w:val="28"/>
          <w:szCs w:val="28"/>
          <w:highlight w:val="none"/>
        </w:rPr>
        <w:t xml:space="preserve">22 440</w:t>
      </w:r>
      <w:r>
        <w:rPr>
          <w:sz w:val="28"/>
          <w:szCs w:val="28"/>
          <w:highlight w:val="none"/>
        </w:rPr>
        <w:t xml:space="preserve"> руб.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Федеральным законом от 30.11.2024 № 419-ФЗ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highlight w:val="non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2025 году индексация заработных плат бюджетникам состави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13,2 %. </w:t>
      </w:r>
      <w:r>
        <w:rPr>
          <w:highlight w:val="none"/>
        </w:rPr>
        <w:br/>
      </w:r>
      <w:r>
        <w:rPr>
          <w:sz w:val="28"/>
          <w:szCs w:val="28"/>
          <w:highlight w:val="none"/>
        </w:rPr>
        <w:t xml:space="preserve">Кроме того, заработные платы сотрудников прочих бюджетных организаций </w:t>
      </w:r>
      <w:r>
        <w:rPr>
          <w:sz w:val="28"/>
          <w:szCs w:val="28"/>
          <w:highlight w:val="none"/>
        </w:rPr>
        <w:t xml:space="preserve">увеличились </w:t>
      </w:r>
      <w:r>
        <w:rPr>
          <w:sz w:val="28"/>
          <w:szCs w:val="28"/>
          <w:highlight w:val="none"/>
        </w:rPr>
        <w:t xml:space="preserve">с 01 октября 2025 года на 7,6 %.</w:t>
      </w:r>
      <w:r>
        <w:rPr>
          <w:sz w:val="28"/>
          <w:szCs w:val="28"/>
          <w:highlight w:val="none"/>
        </w:rPr>
        <w:t xml:space="preserve"> 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Основным </w:t>
      </w:r>
      <w:r>
        <w:rPr>
          <w:highlight w:val="none"/>
        </w:rPr>
        <w:t xml:space="preserve">фактором</w:t>
      </w:r>
      <w:r>
        <w:rPr>
          <w:highlight w:val="none"/>
        </w:rPr>
        <w:t xml:space="preserve"> быстрого роста зарплат в производственной сфере является нехватка квалифицированных работников.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результате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ожидает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фонда заработной платы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335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114,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 к уровню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период 2026-2028 годов в условиях неопределенности ожидается умеренный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рост заработной платы работников крупных и ср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едних предприятий города Перми.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жительной динамике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работной платы в перспективе будут способствовать проведение ежегодной индексации размера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заработной платы.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01 января 2026 года в совокупности МРОТ увеличится на 20,7 % и составит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27 093 руб.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акторами роста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остаются низкий уровень безработицы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увеличение рабочих мест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нехватка квалифицированных кадров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Увеличение фонда заработной платы в 202</w:t>
      </w:r>
      <w:r>
        <w:rPr>
          <w:highlight w:val="none"/>
        </w:rPr>
        <w:t xml:space="preserve">8</w:t>
      </w:r>
      <w:r>
        <w:rPr>
          <w:highlight w:val="none"/>
        </w:rPr>
        <w:t xml:space="preserve"> году</w:t>
      </w:r>
      <w:r>
        <w:rPr>
          <w:highlight w:val="none"/>
        </w:rPr>
        <w:t xml:space="preserve"> к уровню </w:t>
      </w:r>
      <w:r>
        <w:rPr>
          <w:highlight w:val="none"/>
        </w:rPr>
        <w:br/>
      </w:r>
      <w:r>
        <w:rPr>
          <w:highlight w:val="none"/>
        </w:rPr>
        <w:t xml:space="preserve">20</w:t>
      </w:r>
      <w:r>
        <w:rPr>
          <w:highlight w:val="none"/>
        </w:rPr>
        <w:t xml:space="preserve">25</w:t>
      </w:r>
      <w:r>
        <w:rPr>
          <w:highlight w:val="none"/>
        </w:rPr>
        <w:t xml:space="preserve"> года </w:t>
      </w:r>
      <w:r>
        <w:rPr>
          <w:highlight w:val="none"/>
        </w:rPr>
        <w:t xml:space="preserve">по базовому сценарию составит </w:t>
      </w:r>
      <w:r>
        <w:rPr>
          <w:highlight w:val="none"/>
        </w:rPr>
        <w:t xml:space="preserve">126</w:t>
      </w:r>
      <w:r>
        <w:rPr>
          <w:highlight w:val="none"/>
        </w:rPr>
        <w:t xml:space="preserve">,4</w:t>
      </w:r>
      <w:r>
        <w:rPr>
          <w:highlight w:val="none"/>
        </w:rPr>
        <w:t xml:space="preserve"> %, по консервативному </w:t>
      </w:r>
      <w:r>
        <w:rPr>
          <w:highlight w:val="none"/>
        </w:rPr>
        <w:br/>
        <w:t xml:space="preserve">сценарию – </w:t>
      </w:r>
      <w:r>
        <w:rPr>
          <w:highlight w:val="none"/>
        </w:rPr>
        <w:t xml:space="preserve">12</w:t>
      </w:r>
      <w:r>
        <w:rPr>
          <w:highlight w:val="none"/>
        </w:rPr>
        <w:t xml:space="preserve">0</w:t>
      </w:r>
      <w:r>
        <w:rPr>
          <w:highlight w:val="none"/>
        </w:rPr>
        <w:t xml:space="preserve">,</w:t>
      </w:r>
      <w:r>
        <w:rPr>
          <w:highlight w:val="none"/>
        </w:rPr>
        <w:t xml:space="preserve">6 </w:t>
      </w:r>
      <w:r>
        <w:rPr>
          <w:highlight w:val="none"/>
        </w:rPr>
        <w:t xml:space="preserve">%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7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Труд и занятость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firstLine="709"/>
        <w:jc w:val="both"/>
        <w:rPr>
          <w:rFonts w:ascii="Times New Roman" w:hAnsi="Times New Roman" w:cs="Times New Roman"/>
          <w:b w:val="0"/>
          <w:color w:val="00b05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b05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b05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b050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фоне роста производства на рынке труда продолжается рост спроса </w:t>
        <w:br/>
        <w:t xml:space="preserve">на рабочую силу. В 2023-2024 годах наблюдалось снижение безработицы, достигнув исторического</w:t>
      </w:r>
      <w:r>
        <w:rPr>
          <w:rFonts w:ascii="Times New Roman" w:hAnsi="Times New Roman" w:cs="Times New Roman"/>
          <w:sz w:val="28"/>
          <w:szCs w:val="28"/>
        </w:rPr>
        <w:t xml:space="preserve"> миниму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по состоянию на 01.01</w:t>
      </w:r>
      <w:r>
        <w:rPr>
          <w:rFonts w:ascii="Times New Roman" w:hAnsi="Times New Roman" w:cs="Times New Roman"/>
          <w:sz w:val="28"/>
          <w:szCs w:val="28"/>
        </w:rPr>
        <w:t xml:space="preserve">.2025 численность безработных составила </w:t>
      </w:r>
      <w:r>
        <w:rPr>
          <w:rFonts w:ascii="Times New Roman" w:hAnsi="Times New Roman" w:cs="Times New Roman"/>
          <w:sz w:val="28"/>
          <w:szCs w:val="28"/>
        </w:rPr>
        <w:t xml:space="preserve">791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сокращение численности безработных повлияло создание новых рабочих мест в промышленном секторе, в оптовой и розничной торговл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в профессиональной, научной и техническо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деятельности. 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none"/>
          <w:shd w:val="clear" w:color="auto" w:fill="ffffff"/>
        </w:rPr>
        <w:t xml:space="preserve">В целом спрос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none"/>
          <w:shd w:val="clear" w:color="auto" w:fill="ffffff"/>
        </w:rPr>
        <w:t xml:space="preserve">на рабочую силу опережает ее предложение.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none"/>
          <w:shd w:val="clear" w:color="auto" w:fill="ffffff"/>
        </w:rPr>
        <w:t xml:space="preserve"> При низком уровне безработицы экономика продолж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highlight w:val="none"/>
          <w:shd w:val="clear" w:color="auto" w:fill="ffffff"/>
        </w:rPr>
        <w:t xml:space="preserve">ает расти, что свидетельствует о гибкости рынка труда.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По состоянию на </w:t>
      </w:r>
      <w:r>
        <w:rPr>
          <w:highlight w:val="none"/>
        </w:rPr>
        <w:t xml:space="preserve">конец </w:t>
      </w:r>
      <w:r>
        <w:rPr>
          <w:highlight w:val="none"/>
        </w:rPr>
        <w:t xml:space="preserve">июля 2025 года численность зарегистрированных безработных в городе Перми составила 800 человек, отмечая небольшой </w:t>
      </w:r>
      <w:r>
        <w:rPr>
          <w:highlight w:val="none"/>
        </w:rPr>
        <w:br/>
      </w:r>
      <w:r>
        <w:rPr>
          <w:highlight w:val="none"/>
        </w:rPr>
        <w:t xml:space="preserve">прирост относительно предшествующих месяцев. </w:t>
      </w:r>
      <w:r>
        <w:rPr>
          <w:highlight w:val="none"/>
        </w:rPr>
        <w:t xml:space="preserve">Уже в августе </w:t>
      </w:r>
      <w:r>
        <w:rPr>
          <w:highlight w:val="none"/>
        </w:rPr>
        <w:t xml:space="preserve">количество безработных снизилось</w:t>
      </w:r>
      <w:r>
        <w:rPr>
          <w:highlight w:val="none"/>
        </w:rPr>
        <w:t xml:space="preserve"> </w:t>
      </w:r>
      <w:r>
        <w:rPr>
          <w:highlight w:val="none"/>
        </w:rPr>
        <w:t xml:space="preserve">до 735 чел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Уровень официально зарегистрир</w:t>
      </w:r>
      <w:r>
        <w:rPr>
          <w:highlight w:val="none"/>
        </w:rPr>
        <w:t xml:space="preserve">ованной безработицы в Перми </w:t>
      </w:r>
      <w:r>
        <w:rPr>
          <w:highlight w:val="none"/>
        </w:rPr>
        <w:br/>
      </w:r>
      <w:r>
        <w:rPr>
          <w:highlight w:val="none"/>
        </w:rPr>
        <w:t xml:space="preserve">на конец</w:t>
      </w:r>
      <w:r>
        <w:rPr>
          <w:highlight w:val="none"/>
        </w:rPr>
        <w:t xml:space="preserve"> августа 2025 года составил 0,14 %, </w:t>
      </w:r>
      <w:r>
        <w:rPr>
          <w:highlight w:val="none"/>
        </w:rPr>
        <w:t xml:space="preserve">это ниже, </w:t>
      </w:r>
      <w:r>
        <w:rPr>
          <w:highlight w:val="none"/>
        </w:rPr>
        <w:t xml:space="preserve">чем в целом по Пермскому краю</w:t>
      </w:r>
      <w:r>
        <w:rPr>
          <w:highlight w:val="none"/>
        </w:rPr>
        <w:t xml:space="preserve"> (0,28 %).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Численность официально зарегистрированных безработных на конец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оценивается на уро</w:t>
      </w:r>
      <w:r>
        <w:rPr>
          <w:rFonts w:ascii="Times New Roman" w:hAnsi="Times New Roman" w:cs="Times New Roman"/>
          <w:sz w:val="28"/>
          <w:szCs w:val="28"/>
        </w:rPr>
        <w:t xml:space="preserve">вне 0,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тыс. чел.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прогнозируемом периоде по базовому варианту число безр</w:t>
      </w:r>
      <w:r>
        <w:rPr>
          <w:rFonts w:ascii="Times New Roman" w:hAnsi="Times New Roman" w:cs="Times New Roman"/>
          <w:sz w:val="28"/>
          <w:szCs w:val="28"/>
        </w:rPr>
        <w:t xml:space="preserve">аботных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останется на уровне 2025 года</w:t>
      </w:r>
      <w:r>
        <w:rPr>
          <w:rFonts w:ascii="Times New Roman" w:hAnsi="Times New Roman" w:cs="Times New Roman"/>
          <w:sz w:val="28"/>
          <w:szCs w:val="28"/>
        </w:rPr>
        <w:t xml:space="preserve">, по консервативному – увеличится </w:t>
      </w:r>
      <w:r>
        <w:rPr>
          <w:rFonts w:ascii="Times New Roman" w:hAnsi="Times New Roman" w:cs="Times New Roman"/>
          <w:sz w:val="28"/>
          <w:szCs w:val="28"/>
        </w:rPr>
        <w:t xml:space="preserve">до 1,1</w:t>
      </w:r>
      <w:r>
        <w:rPr>
          <w:rFonts w:ascii="Times New Roman" w:hAnsi="Times New Roman" w:cs="Times New Roman"/>
          <w:sz w:val="28"/>
          <w:szCs w:val="28"/>
        </w:rPr>
        <w:t xml:space="preserve"> тыс.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Среднесписочная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численность работающих на крупных и средних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предприятиях города Перми (без внешних совместителей) по итогам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января-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июля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оставила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280,1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чел.,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выше уровня аналогичного периода 2024 года на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,1 %.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Наибольшее сокращение числа работающих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зафиксировано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водоснабжении, водоотведении, организации сбора и утилизации отходов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(94,0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январю-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июлю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транспортировке и хранении (9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4,2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области информации и связи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6,3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%),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государственном управлении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обеспечении военной безопасности; социальном обеспечении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(97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аибол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ьший рост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строительстве (106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абатывающих производствах (105,7 %),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административной деятельности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(105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деятельности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(105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  <w:t xml:space="preserve">Среднесписочн</w:t>
      </w:r>
      <w:r>
        <w:rPr>
          <w:highlight w:val="none"/>
        </w:rPr>
        <w:t xml:space="preserve">ая численность работающих в 2025</w:t>
      </w:r>
      <w:r>
        <w:rPr>
          <w:highlight w:val="none"/>
        </w:rPr>
        <w:t xml:space="preserve"> году оценивается </w:t>
      </w:r>
      <w:r>
        <w:rPr>
          <w:highlight w:val="none"/>
        </w:rPr>
        <w:br/>
        <w:t xml:space="preserve">на уровне </w:t>
      </w:r>
      <w:r>
        <w:rPr>
          <w:highlight w:val="none"/>
        </w:rPr>
        <w:t xml:space="preserve">281</w:t>
      </w:r>
      <w:r>
        <w:rPr>
          <w:highlight w:val="none"/>
        </w:rPr>
        <w:t xml:space="preserve"> тыс. чел.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прогнозном периоде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ожидается сохранение стабильной ситуации на рынке труда и повышение его гибкости благодаря федеральной и региональной политик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направленной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стимулирование занятости, а также повышение уровня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подготовки и переподготовки рабочей силы к потребностям экономики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Среднесписочная численность работающих на крупных и средних предприятиях (б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ез внешних совместителей) в 2028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составит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отношению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уровню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ода по базовому сценарию 100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%,</w:t>
      </w:r>
      <w:r>
        <w:rPr>
          <w:rFonts w:ascii="Times New Roman" w:hAnsi="Times New Roman" w:cs="Times New Roman"/>
          <w:sz w:val="28"/>
          <w:szCs w:val="28"/>
        </w:rPr>
        <w:t xml:space="preserve"> по консервативному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сценарию </w:t>
      </w:r>
      <w:r>
        <w:rPr>
          <w:rFonts w:ascii="Times New Roman" w:hAnsi="Times New Roman" w:cs="Times New Roman"/>
          <w:sz w:val="28"/>
          <w:szCs w:val="28"/>
        </w:rPr>
        <w:t xml:space="preserve">– 99,3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7"/>
        <w:ind w:firstLine="709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ышленность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967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Оборот </w:t>
      </w:r>
      <w:r>
        <w:rPr>
          <w:highlight w:val="none"/>
        </w:rPr>
        <w:t xml:space="preserve">организаций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итогам</w:t>
      </w:r>
      <w:r>
        <w:rPr>
          <w:highlight w:val="none"/>
        </w:rPr>
        <w:t xml:space="preserve"> </w:t>
      </w:r>
      <w:r>
        <w:rPr>
          <w:highlight w:val="none"/>
        </w:rPr>
        <w:t xml:space="preserve">2024 </w:t>
      </w:r>
      <w:r>
        <w:rPr>
          <w:highlight w:val="none"/>
        </w:rPr>
        <w:t xml:space="preserve">года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составил</w:t>
      </w:r>
      <w:r>
        <w:rPr>
          <w:highlight w:val="none"/>
        </w:rPr>
        <w:t xml:space="preserve"> </w:t>
      </w:r>
      <w:r>
        <w:rPr>
          <w:highlight w:val="none"/>
        </w:rPr>
        <w:br/>
      </w:r>
      <w:r>
        <w:rPr>
          <w:highlight w:val="none"/>
        </w:rPr>
        <w:t xml:space="preserve">1 679,3 млрд. руб., что на 20,0 % выше уровня 2023 года, объем отгруженной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продукции собственного производства составил 1 006,8 млрд. руб., что на 19,7 %</w:t>
      </w:r>
      <w:r>
        <w:rPr>
          <w:highlight w:val="none"/>
        </w:rPr>
        <w:t xml:space="preserve"> </w:t>
      </w:r>
      <w:r>
        <w:rPr>
          <w:highlight w:val="none"/>
        </w:rPr>
        <w:t xml:space="preserve">выше уровня 2023 года.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 2025 году </w:t>
      </w:r>
      <w:r>
        <w:rPr>
          <w:highlight w:val="none"/>
        </w:rPr>
        <w:t xml:space="preserve">рост э</w:t>
      </w:r>
      <w:r>
        <w:rPr>
          <w:highlight w:val="none"/>
        </w:rPr>
        <w:t xml:space="preserve">кономики в новых внешнеэкономических условиях замедлился, </w:t>
      </w:r>
      <w:r>
        <w:rPr>
          <w:highlight w:val="none"/>
        </w:rPr>
        <w:t xml:space="preserve">но </w:t>
      </w:r>
      <w:r>
        <w:rPr>
          <w:highlight w:val="none"/>
        </w:rPr>
        <w:t xml:space="preserve">в целом демонстрирует положи</w:t>
      </w:r>
      <w:r>
        <w:rPr>
          <w:highlight w:val="none"/>
        </w:rPr>
        <w:t xml:space="preserve">тельные тенденции.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color w:val="000000" w:themeColor="text1"/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</w:t>
      </w:r>
      <w:r>
        <w:rPr>
          <w:highlight w:val="none"/>
        </w:rPr>
        <w:t xml:space="preserve">б</w:t>
      </w:r>
      <w:r>
        <w:rPr>
          <w:highlight w:val="none"/>
        </w:rPr>
        <w:t xml:space="preserve">орот организаций города Перми </w:t>
      </w:r>
      <w:r>
        <w:rPr>
          <w:highlight w:val="none"/>
        </w:rPr>
        <w:t xml:space="preserve">п</w:t>
      </w:r>
      <w:r>
        <w:rPr>
          <w:highlight w:val="none"/>
        </w:rPr>
        <w:t xml:space="preserve">о итогам января</w:t>
      </w:r>
      <w:r>
        <w:rPr>
          <w:highlight w:val="none"/>
        </w:rPr>
        <w:t xml:space="preserve">-августа</w:t>
      </w:r>
      <w:r>
        <w:rPr>
          <w:highlight w:val="none"/>
        </w:rPr>
        <w:t xml:space="preserve"> 2025</w:t>
      </w:r>
      <w:r>
        <w:rPr>
          <w:highlight w:val="none"/>
        </w:rPr>
        <w:t xml:space="preserve"> года </w:t>
      </w:r>
      <w:r>
        <w:rPr>
          <w:highlight w:val="none"/>
        </w:rPr>
        <w:t xml:space="preserve">составил </w:t>
      </w:r>
      <w:r>
        <w:rPr>
          <w:highlight w:val="none"/>
        </w:rPr>
        <w:t xml:space="preserve">1 110,7</w:t>
      </w:r>
      <w:r>
        <w:rPr>
          <w:highlight w:val="none"/>
        </w:rPr>
        <w:t xml:space="preserve"> млрд. руб., </w:t>
      </w:r>
      <w:r>
        <w:rPr>
          <w:highlight w:val="none"/>
        </w:rPr>
        <w:t xml:space="preserve">что на 6</w:t>
      </w:r>
      <w:r>
        <w:rPr>
          <w:highlight w:val="none"/>
        </w:rPr>
        <w:t xml:space="preserve">,7</w:t>
      </w:r>
      <w:r>
        <w:rPr>
          <w:highlight w:val="none"/>
        </w:rPr>
        <w:t xml:space="preserve"> % выш</w:t>
      </w:r>
      <w:r>
        <w:rPr>
          <w:highlight w:val="none"/>
        </w:rPr>
        <w:t xml:space="preserve">е уровня соответствующего периода 20</w:t>
      </w:r>
      <w:r>
        <w:rPr>
          <w:highlight w:val="none"/>
        </w:rPr>
        <w:t xml:space="preserve">2</w:t>
      </w:r>
      <w:r>
        <w:rPr>
          <w:highlight w:val="none"/>
        </w:rPr>
        <w:t xml:space="preserve">4</w:t>
      </w:r>
      <w:r>
        <w:rPr>
          <w:highlight w:val="none"/>
        </w:rPr>
        <w:t xml:space="preserve"> года</w:t>
      </w:r>
      <w:r>
        <w:rPr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66"/>
        <w:shd w:val="clear" w:color="auto" w:fill="auto"/>
        <w:ind w:firstLine="709"/>
        <w:jc w:val="both"/>
        <w:rPr>
          <w:rFonts w:cs="Arial"/>
          <w:highlight w:val="none"/>
        </w:rPr>
      </w:pPr>
      <w:r>
        <w:rPr>
          <w:highlight w:val="none"/>
        </w:rPr>
        <w:t xml:space="preserve">По итогам 8</w:t>
      </w:r>
      <w:r>
        <w:rPr>
          <w:highlight w:val="none"/>
        </w:rPr>
        <w:t xml:space="preserve"> месяцев текущего года н</w:t>
      </w:r>
      <w:r>
        <w:rPr>
          <w:highlight w:val="none"/>
        </w:rPr>
        <w:t xml:space="preserve">аибольший </w:t>
      </w:r>
      <w:r>
        <w:rPr>
          <w:highlight w:val="none"/>
        </w:rPr>
        <w:t xml:space="preserve">рост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оборота организаций города Перми </w:t>
      </w:r>
      <w:r>
        <w:rPr>
          <w:highlight w:val="none"/>
        </w:rPr>
        <w:t xml:space="preserve">наблюдался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</w:t>
      </w:r>
      <w:r>
        <w:rPr>
          <w:highlight w:val="none"/>
        </w:rPr>
        <w:t xml:space="preserve">деятельности гостиниц и предприятий общественного питания – </w:t>
      </w:r>
      <w:r>
        <w:rPr>
          <w:highlight w:val="none"/>
        </w:rPr>
        <w:t xml:space="preserve">171,4</w:t>
      </w:r>
      <w:r>
        <w:rPr>
          <w:highlight w:val="none"/>
        </w:rPr>
        <w:t xml:space="preserve"> % </w:t>
      </w:r>
      <w:r>
        <w:rPr>
          <w:highlight w:val="none"/>
        </w:rPr>
        <w:t xml:space="preserve">к январю-</w:t>
      </w:r>
      <w:r>
        <w:rPr>
          <w:highlight w:val="none"/>
        </w:rPr>
        <w:t xml:space="preserve">августу</w:t>
      </w:r>
      <w:r>
        <w:rPr>
          <w:highlight w:val="none"/>
        </w:rPr>
        <w:t xml:space="preserve"> 2024 года, </w:t>
      </w:r>
      <w:r>
        <w:rPr>
          <w:highlight w:val="none"/>
        </w:rPr>
        <w:t xml:space="preserve">в</w:t>
      </w:r>
      <w:r>
        <w:rPr>
          <w:highlight w:val="none"/>
        </w:rPr>
        <w:t xml:space="preserve"> области культуры, спорта, организации досуга и развлечений</w:t>
      </w:r>
      <w:r>
        <w:rPr>
          <w:rFonts w:cs="Arial"/>
          <w:szCs w:val="20"/>
          <w:highlight w:val="none"/>
        </w:rPr>
        <w:t xml:space="preserve"> – </w:t>
      </w:r>
      <w:r>
        <w:rPr>
          <w:rFonts w:cs="Arial"/>
          <w:szCs w:val="20"/>
          <w:highlight w:val="none"/>
        </w:rPr>
        <w:t xml:space="preserve">155,2</w:t>
      </w:r>
      <w:r>
        <w:rPr>
          <w:rFonts w:cs="Arial"/>
          <w:szCs w:val="20"/>
          <w:highlight w:val="none"/>
        </w:rPr>
        <w:t xml:space="preserve"> %</w:t>
      </w:r>
      <w:r>
        <w:rPr>
          <w:rFonts w:cs="Arial"/>
          <w:szCs w:val="20"/>
          <w:highlight w:val="none"/>
        </w:rPr>
        <w:t xml:space="preserve">, в </w:t>
      </w:r>
      <w:r>
        <w:rPr>
          <w:rFonts w:cs="Arial"/>
          <w:szCs w:val="20"/>
          <w:highlight w:val="none"/>
        </w:rPr>
        <w:t xml:space="preserve">государственном управлении </w:t>
      </w:r>
      <w:r>
        <w:rPr>
          <w:highlight w:val="none"/>
        </w:rPr>
        <w:br/>
      </w:r>
      <w:r>
        <w:rPr>
          <w:rFonts w:cs="Arial"/>
          <w:szCs w:val="20"/>
          <w:highlight w:val="none"/>
        </w:rPr>
        <w:t xml:space="preserve">и обеспечении военной безопасности </w:t>
      </w:r>
      <w:r>
        <w:rPr>
          <w:rFonts w:cs="Arial"/>
          <w:szCs w:val="20"/>
          <w:highlight w:val="none"/>
        </w:rPr>
        <w:t xml:space="preserve">– </w:t>
      </w:r>
      <w:r>
        <w:rPr>
          <w:rFonts w:cs="Arial"/>
          <w:szCs w:val="20"/>
          <w:highlight w:val="none"/>
        </w:rPr>
        <w:t xml:space="preserve">152,5</w:t>
      </w:r>
      <w:r>
        <w:rPr>
          <w:rFonts w:cs="Arial"/>
          <w:szCs w:val="20"/>
          <w:highlight w:val="none"/>
        </w:rPr>
        <w:t xml:space="preserve"> %</w:t>
      </w:r>
      <w:r>
        <w:rPr>
          <w:rFonts w:cs="Arial"/>
          <w:szCs w:val="20"/>
          <w:highlight w:val="none"/>
        </w:rPr>
        <w:t xml:space="preserve">. </w:t>
      </w:r>
      <w:r>
        <w:rPr>
          <w:rFonts w:cs="Arial"/>
          <w:szCs w:val="20"/>
          <w:highlight w:val="none"/>
        </w:rPr>
        <w:t xml:space="preserve">Сокращение оборота организаций наблюдалось </w:t>
      </w:r>
      <w:r>
        <w:rPr>
          <w:rFonts w:cs="Arial"/>
          <w:szCs w:val="20"/>
          <w:highlight w:val="none"/>
        </w:rPr>
        <w:t xml:space="preserve">в сфере водоотведения и водоснабжения – 98,3 % и </w:t>
      </w:r>
      <w:r>
        <w:rPr>
          <w:rFonts w:cs="Arial"/>
          <w:szCs w:val="20"/>
          <w:highlight w:val="none"/>
        </w:rPr>
        <w:t xml:space="preserve">в строительстве </w:t>
      </w:r>
      <w:r>
        <w:rPr>
          <w:rFonts w:cs="Arial"/>
          <w:szCs w:val="20"/>
          <w:highlight w:val="none"/>
          <w:shd w:val="clear" w:color="auto" w:fill="auto"/>
        </w:rPr>
        <w:t xml:space="preserve">– 95,6</w:t>
      </w:r>
      <w:r>
        <w:rPr>
          <w:rFonts w:cs="Arial"/>
          <w:szCs w:val="20"/>
          <w:highlight w:val="none"/>
        </w:rPr>
        <w:t xml:space="preserve"> %</w:t>
      </w:r>
      <w:r>
        <w:rPr>
          <w:rFonts w:cs="Arial"/>
          <w:szCs w:val="20"/>
          <w:highlight w:val="none"/>
        </w:rPr>
        <w:t xml:space="preserve">.</w:t>
      </w:r>
      <w:r>
        <w:rPr>
          <w:rFonts w:cs="Arial"/>
          <w:highlight w:val="none"/>
        </w:rPr>
      </w:r>
      <w:r>
        <w:rPr>
          <w:rFonts w:cs="Arial"/>
          <w:highlight w:val="none"/>
        </w:rPr>
      </w:r>
    </w:p>
    <w:p>
      <w:pPr>
        <w:pStyle w:val="966"/>
        <w:ind w:firstLine="709"/>
        <w:jc w:val="both"/>
        <w:rPr>
          <w:rFonts w:cs="Arial"/>
          <w:color w:val="000000"/>
          <w:highlight w:val="none"/>
        </w:rPr>
      </w:pPr>
      <w:r>
        <w:rPr>
          <w:rFonts w:cs="Arial"/>
          <w:color w:val="000000"/>
          <w:szCs w:val="20"/>
          <w:highlight w:val="none"/>
        </w:rPr>
        <w:t xml:space="preserve">По итогам января-августа</w:t>
      </w:r>
      <w:r>
        <w:rPr>
          <w:rFonts w:cs="Arial"/>
          <w:color w:val="000000"/>
          <w:szCs w:val="20"/>
          <w:highlight w:val="none"/>
        </w:rPr>
        <w:t xml:space="preserve"> </w:t>
      </w:r>
      <w:r>
        <w:rPr>
          <w:rFonts w:cs="Arial"/>
          <w:color w:val="000000"/>
          <w:szCs w:val="20"/>
          <w:highlight w:val="none"/>
        </w:rPr>
        <w:t xml:space="preserve">202</w:t>
      </w:r>
      <w:r>
        <w:rPr>
          <w:rFonts w:cs="Arial"/>
          <w:color w:val="000000"/>
          <w:szCs w:val="20"/>
          <w:highlight w:val="none"/>
        </w:rPr>
        <w:t xml:space="preserve">5</w:t>
      </w:r>
      <w:r>
        <w:rPr>
          <w:rFonts w:cs="Arial"/>
          <w:color w:val="000000"/>
          <w:szCs w:val="20"/>
          <w:highlight w:val="none"/>
        </w:rPr>
        <w:t xml:space="preserve"> год</w:t>
      </w:r>
      <w:r>
        <w:rPr>
          <w:rFonts w:cs="Arial"/>
          <w:color w:val="000000"/>
          <w:szCs w:val="20"/>
          <w:highlight w:val="none"/>
        </w:rPr>
        <w:t xml:space="preserve">а</w:t>
      </w:r>
      <w:r>
        <w:rPr>
          <w:rFonts w:cs="Arial"/>
          <w:color w:val="000000"/>
          <w:szCs w:val="20"/>
          <w:highlight w:val="none"/>
        </w:rPr>
        <w:t xml:space="preserve"> объем отгруженной продукции собственного </w:t>
      </w:r>
      <w:r>
        <w:rPr>
          <w:color w:val="000000"/>
          <w:highlight w:val="none"/>
        </w:rPr>
        <w:t xml:space="preserve">производства, выполненных работ и услуг составил </w:t>
      </w:r>
      <w:r>
        <w:rPr>
          <w:color w:val="000000"/>
          <w:highlight w:val="none"/>
        </w:rPr>
        <w:t xml:space="preserve">644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млрд. руб. (</w:t>
      </w:r>
      <w:r>
        <w:rPr>
          <w:color w:val="000000"/>
          <w:highlight w:val="none"/>
        </w:rPr>
        <w:t xml:space="preserve">105,7</w:t>
      </w:r>
      <w:r>
        <w:rPr>
          <w:color w:val="000000"/>
          <w:highlight w:val="none"/>
        </w:rPr>
        <w:t xml:space="preserve"> % к </w:t>
      </w:r>
      <w:r>
        <w:rPr>
          <w:color w:val="000000"/>
          <w:highlight w:val="none"/>
        </w:rPr>
        <w:t xml:space="preserve">январю-</w:t>
      </w:r>
      <w:r>
        <w:rPr>
          <w:color w:val="000000"/>
          <w:highlight w:val="none"/>
        </w:rPr>
        <w:t xml:space="preserve">августу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2024</w:t>
      </w:r>
      <w:r>
        <w:rPr>
          <w:color w:val="000000"/>
          <w:highlight w:val="none"/>
        </w:rPr>
        <w:t xml:space="preserve"> года). Наиболее </w:t>
      </w:r>
      <w:r>
        <w:rPr>
          <w:color w:val="000000"/>
          <w:highlight w:val="none"/>
        </w:rPr>
        <w:t xml:space="preserve">высокие тем</w:t>
      </w:r>
      <w:r>
        <w:rPr>
          <w:color w:val="000000"/>
          <w:highlight w:val="none"/>
        </w:rPr>
        <w:t xml:space="preserve">пы роста наблюдались </w:t>
        <w:br/>
      </w:r>
      <w:r>
        <w:rPr>
          <w:color w:val="000000"/>
          <w:highlight w:val="none"/>
        </w:rPr>
        <w:t xml:space="preserve">в </w:t>
      </w:r>
      <w:r>
        <w:rPr>
          <w:highlight w:val="none"/>
        </w:rPr>
        <w:t xml:space="preserve">деятельности гостиниц и предприятий общественного п</w:t>
      </w:r>
      <w:r>
        <w:rPr>
          <w:highlight w:val="none"/>
        </w:rPr>
        <w:t xml:space="preserve">итания</w:t>
      </w:r>
      <w:r>
        <w:rPr>
          <w:color w:val="000000"/>
          <w:highlight w:val="none"/>
        </w:rPr>
        <w:t xml:space="preserve"> – 163,5 % </w:t>
        <w:br/>
        <w:t xml:space="preserve">к январю-августу 2024 года, </w:t>
      </w:r>
      <w:r>
        <w:rPr>
          <w:color w:val="000000"/>
          <w:highlight w:val="none"/>
        </w:rPr>
        <w:t xml:space="preserve">в </w:t>
      </w:r>
      <w:r>
        <w:rPr>
          <w:highlight w:val="none"/>
        </w:rPr>
        <w:t xml:space="preserve">области культуры, спорта, организации досуга </w:t>
        <w:br/>
        <w:t xml:space="preserve">и развлечений</w:t>
      </w:r>
      <w:r>
        <w:rPr>
          <w:color w:val="000000"/>
          <w:highlight w:val="none"/>
        </w:rPr>
        <w:t xml:space="preserve"> – 162,7 %,</w:t>
      </w:r>
      <w:r>
        <w:rPr>
          <w:color w:val="000000"/>
          <w:highlight w:val="none"/>
        </w:rPr>
        <w:t xml:space="preserve"> в </w:t>
      </w:r>
      <w:r>
        <w:rPr>
          <w:color w:val="000000"/>
          <w:highlight w:val="none"/>
        </w:rPr>
        <w:t xml:space="preserve">государственном управлении и обеспечении военной безопасности</w:t>
      </w:r>
      <w:r>
        <w:rPr>
          <w:color w:val="000000"/>
          <w:highlight w:val="none"/>
        </w:rPr>
        <w:t xml:space="preserve"> – 148,9 %</w:t>
      </w:r>
      <w:r>
        <w:rPr>
          <w:color w:val="000000"/>
          <w:highlight w:val="none"/>
        </w:rPr>
        <w:t xml:space="preserve">.</w:t>
      </w:r>
      <w:r>
        <w:rPr>
          <w:rFonts w:cs="Arial"/>
          <w:color w:val="000000"/>
          <w:highlight w:val="none"/>
        </w:rPr>
      </w:r>
      <w:r>
        <w:rPr>
          <w:rFonts w:cs="Arial"/>
          <w:color w:val="000000"/>
          <w:highlight w:val="none"/>
        </w:rPr>
      </w:r>
    </w:p>
    <w:p>
      <w:pPr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текущем году будет продолжаться процесс переориентации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приоритетных направлений внешней торговли в сторону нейтральных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дружественных стран,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экспорт будет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восстанавливаться за счет развития соответствующих новых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логистических и производственных цепочек.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Промышленное производство будет демонстрировать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ожидаемое замедление темпов роста на фоне высокой накопленной базы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прошлых лет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оценке оборот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упных и средних предприятий в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составит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1 790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млрд. руб.,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106,6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к уровню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года. Объем отгруженной продукции собственного производства в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составит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1 052,5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руб.,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104,5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уровню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</w:rPr>
      </w:r>
      <w:bookmarkStart w:id="0" w:name="_Hlk80976744"/>
      <w:r>
        <w:rPr>
          <w:highlight w:val="none"/>
        </w:rPr>
        <w:t xml:space="preserve">Промышленный комплекс в прогнозном периоде продолжит развиваться </w:t>
        <w:br/>
        <w:t xml:space="preserve">в условиях </w:t>
      </w:r>
      <w:bookmarkEnd w:id="0"/>
      <w:r>
        <w:rPr>
          <w:highlight w:val="none"/>
        </w:rPr>
        <w:t xml:space="preserve">федеральной поддержки, запуском новых производств </w:t>
      </w:r>
      <w:r>
        <w:rPr>
          <w:highlight w:val="none"/>
        </w:rPr>
        <w:t xml:space="preserve">и расширением выпуска различных видов товаров.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bCs/>
          <w:highlight w:val="none"/>
        </w:rPr>
      </w:pPr>
      <w:r>
        <w:rPr>
          <w:bCs/>
          <w:highlight w:val="none"/>
        </w:rPr>
        <w:t xml:space="preserve">Рост оборота крупных и средних предприятий в 2028</w:t>
      </w:r>
      <w:r>
        <w:rPr>
          <w:bCs/>
          <w:highlight w:val="none"/>
        </w:rPr>
        <w:t xml:space="preserve"> году </w:t>
      </w:r>
      <w:r>
        <w:rPr>
          <w:bCs/>
          <w:highlight w:val="none"/>
        </w:rPr>
        <w:br/>
      </w:r>
      <w:r>
        <w:rPr>
          <w:bCs/>
          <w:highlight w:val="none"/>
        </w:rPr>
        <w:t xml:space="preserve">по отношению к </w:t>
      </w:r>
      <w:r>
        <w:rPr>
          <w:bCs/>
          <w:highlight w:val="none"/>
        </w:rPr>
        <w:t xml:space="preserve">20</w:t>
      </w:r>
      <w:r>
        <w:rPr>
          <w:bCs/>
          <w:highlight w:val="none"/>
        </w:rPr>
        <w:t xml:space="preserve">25</w:t>
      </w:r>
      <w:r>
        <w:rPr>
          <w:bCs/>
          <w:highlight w:val="none"/>
        </w:rPr>
        <w:t xml:space="preserve"> году по базовому сценарию составит </w:t>
      </w:r>
      <w:r>
        <w:rPr>
          <w:bCs/>
          <w:highlight w:val="none"/>
        </w:rPr>
        <w:t xml:space="preserve">126,2</w:t>
      </w:r>
      <w:r>
        <w:rPr>
          <w:bCs/>
          <w:highlight w:val="none"/>
        </w:rPr>
        <w:t xml:space="preserve"> %, </w:t>
      </w:r>
      <w:r>
        <w:rPr>
          <w:bCs/>
          <w:highlight w:val="none"/>
        </w:rPr>
        <w:br/>
      </w:r>
      <w:r>
        <w:rPr>
          <w:bCs/>
          <w:highlight w:val="none"/>
        </w:rPr>
        <w:t xml:space="preserve">по консервативному сценарию – </w:t>
      </w:r>
      <w:r>
        <w:rPr>
          <w:bCs/>
          <w:highlight w:val="none"/>
        </w:rPr>
        <w:t xml:space="preserve">112,5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%.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Рост объема отгруженной продукции собственного производства в 202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 году по отношению к 20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году по базовому сценарию составит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23,2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%,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 консервативному сценарию –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07,4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%.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b05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b05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b050"/>
          <w:sz w:val="28"/>
          <w:szCs w:val="28"/>
          <w:highlight w:val="yellow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V.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Потребительский рынок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Оборот розничной торговли крупных и средних организаций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2024 год составил 265,7 млрд рублей, демонстрируя значительное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 темпов роста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121,5 % к уровню предыдущего года в фактических ценах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 13,0 % в сопоставимых ценах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итогам 8 месяцев 2025 года оборот розничной торговли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крупным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редним организациям увеличился на 10,4 % в фактических ценах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 1,7 %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сопоставимых ценах к аналогичному периоду 2024 года,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составив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187,9 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Основным фактором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потребительской активности остается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рост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заработных плат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2025 года ожидается рост оборота розничной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торговли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уровне 108,2 % к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ровню 2024 года в фактических ценах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2026-2028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потребительский спрос продолжит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днако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темпы роста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будут последовательно снижаться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формируя устойчивую,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 низкую траекторию роста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Факторами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способствующими росту потребления, будут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рост реальных располагаемых денежных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доходов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плавное снижение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нормы сбережения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2028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оборота розничной 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рговли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базовому сценарию прогно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уровне 119,5 % к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оду, по консервативному варианту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112,5 %,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подтверждает дальнейшее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замедление общей динамики.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hd w:val="clear" w:color="auto" w:fill="auto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Оборот общественног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питания по крупным и средним предприятиям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ганизациям в 2024 году увеличился по сравнению с 2023 годом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фактических ценах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32,2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% в сопоставимых ценах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составив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6,9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млрд. руб.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 w:eastAsia="Times New Roman" w:cs="Times New Roman"/>
          <w:bCs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января-августа 2025 года темп роста оборота общественного питания увеличился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60,8 % к январю-августу 2024 года в фактических ценах </w:t>
      </w:r>
      <w:r>
        <w:rPr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на 41,9 % в сопоставимых ценах, составив 6,2 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clear" w:color="auto" w:fill="auto"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итогам 2025 года ожидается рост оборота общественного питания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уровне –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119,5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 к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ровню 2024 года в фактических ценах.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Сфера общественного питания в прогнозный период будет в значительной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степени зависеть от роста реальных доходов и потребительского поведения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населения, а также уровня инфляции.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Рост оборота общественного питания прогнозируется в 2028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отношению к 2025 году в фактических ценах на уровне: 126,9 % – по базовому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сценарию, 117,3 % – по консервативному сценарию.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rPrChange w:id="0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VI. Финансы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  <w:rPrChange w:id="1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pPr>
      <w:r>
        <w:rPr>
          <w:rFonts w:ascii="Times New Roman" w:hAnsi="Times New Roman" w:cs="Times New Roman"/>
          <w:sz w:val="28"/>
          <w:szCs w:val="28"/>
          <w:highlight w:val="none"/>
          <w:rPrChange w:id="2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  <w:rPrChange w:id="3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  <w:rPrChange w:id="4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2024 года совокупная прибыль предприятий и организаций города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Перми составила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311,5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 и увеличилась по сравнению с 2023 годом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%. </w:t>
      </w:r>
      <w:r>
        <w:rPr>
          <w:rFonts w:ascii="Times New Roman" w:hAnsi="Times New Roman" w:cs="Times New Roman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rPrChange w:id="5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</w:rPr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Прибыль предприятий города Перми в январе-июле 2025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уменьшилась на 41,9 % по срав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нению с аналогичным периодом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предыдущего года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составила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107,9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Сальдированный финансовый результат составил 90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руб.,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  <w:t xml:space="preserve">уменьшился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49,3 %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 январю-июлю 2024 года.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Наибольший удельный вес в формировании финансового результата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приходится на сферу добычи полезных ископаемых. По результатам 7 месяцев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2025 года сальдированный финансовый результат в сфере добычи снизился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2,5 раза к январю-июлю 2024 года.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Второе место по удельному весу в структуре прибыли занимают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обрабатывающие производства, сальдированный финансовый результат которых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уменьшился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52,7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% по сравнению с аналогичным периодом предыдущего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  <w:rPrChange w:id="6" w:author="scherbakova-yua" w:date="2025-10-06T11:27:27Z" oouserid="scherbakova-yua">
            <w:rPr/>
          </w:rPrChange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Кроме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того,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трицательный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сложился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ссиональной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научной и технической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также в деятельности в области информации и связи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  <w:rPrChange w:id="7" w:author="scherbakova-yua" w:date="2025-10-06T11:27:27Z" oouserid="scherbakova-yua">
            <w:rPr/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  <w:rPrChange w:id="8" w:author="scherbakova-yua" w:date="2025-10-06T11:27:27Z" oouserid="scherbakova-yua">
            <w:rPr/>
          </w:rPrChange>
        </w:rPr>
      </w:r>
    </w:p>
    <w:p>
      <w:pPr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Такое значительное сокращение обусловлено высоким уровнем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показателей аналогичного периода предыдущего года, а также повышением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процентных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тавок, которое негативно повлияло на финансовое положение предприятий и способствовало снижению прибыли и уменьшению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объема инвестиций.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spacing w:after="0" w:line="240" w:lineRule="auto"/>
        <w:ind w:left="0" w:right="0" w:firstLine="709"/>
        <w:jc w:val="both"/>
        <w:rPr>
          <w:rFonts w:ascii="Times New Roman" w:hAnsi="Times New Roman" w:cs="Times New Roman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rPrChange w:id="9" w:author="scherbakova-yua" w:date="2025-10-06T11:27:27Z" oouserid="scherbakova-yua">
            <w:rPr>
              <w:rFonts w:ascii="Times New Roman" w:hAnsi="Times New Roman" w:cs="Times New Roman"/>
              <w:sz w:val="28"/>
              <w:szCs w:val="28"/>
              <w:highlight w:val="none"/>
            </w:rPr>
          </w:rPrChange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оценке 2025 года ожидается снижение совокупной прибыли крупных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средних предприятий и организаций на 36,3 % относитель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предыдущего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ода.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Так, совокупная прибыль крупных и средних предприятий Перми достигнет отметки в 198,5 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  <w14:ligatures w14:val="none"/>
        </w:rPr>
      </w:r>
    </w:p>
    <w:p>
      <w:pPr>
        <w:tabs>
          <w:tab w:val="left" w:pos="924" w:leader="none"/>
        </w:tabs>
        <w:spacing w:after="0" w:line="240" w:lineRule="auto"/>
        <w:ind w:left="0" w:right="0" w:firstLine="709"/>
        <w:jc w:val="both"/>
        <w:rPr>
          <w:highlight w:val="none"/>
          <w:rPrChange w:id="10" w:author="scherbakova-yua" w:date="2025-10-06T11:27:27Z" oouserid="scherbakova-yua">
            <w:rPr/>
          </w:rPrChange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Увеличение прибыли в плановый период будет поддерживаться реализацией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программ и внутренним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спросом.</w:t>
      </w:r>
      <w:r>
        <w:rPr>
          <w:highlight w:val="none"/>
          <w:rPrChange w:id="11" w:author="scherbakova-yua" w:date="2025-10-06T11:27:27Z" oouserid="scherbakova-yua">
            <w:rPr/>
          </w:rPrChange>
        </w:rPr>
      </w:r>
      <w:r>
        <w:rPr>
          <w:highlight w:val="none"/>
          <w:rPrChange w:id="12" w:author="scherbakova-yua" w:date="2025-10-06T11:27:27Z" oouserid="scherbakova-yua">
            <w:rPr/>
          </w:rPrChange>
        </w:rPr>
      </w:r>
    </w:p>
    <w:p>
      <w:pPr>
        <w:tabs>
          <w:tab w:val="left" w:pos="924" w:leader="none"/>
        </w:tabs>
        <w:spacing w:after="0" w:line="240" w:lineRule="auto"/>
        <w:ind w:left="0" w:right="0" w:firstLine="709"/>
        <w:jc w:val="both"/>
        <w:rPr>
          <w:highlight w:val="none"/>
          <w:rPrChange w:id="13" w:author="scherbakova-yua" w:date="2025-10-06T11:27:27Z" oouserid="scherbakova-yua">
            <w:rPr>
              <w:highlight w:val="none"/>
            </w:rPr>
          </w:rPrChange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2028 году рост совокупной прибыли крупных и средних предприятий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организаций по базовому сценарию составит 119,1 % к уровню 2025 года,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консервативному сценарию – 106,4 %.</w:t>
      </w:r>
      <w:r>
        <w:rPr>
          <w:highlight w:val="none"/>
          <w:rPrChange w:id="14" w:author="scherbakova-yua" w:date="2025-10-06T11:27:27Z" oouserid="scherbakova-yua">
            <w:rPr>
              <w:highlight w:val="none"/>
            </w:rPr>
          </w:rPrChange>
        </w:rPr>
      </w:r>
      <w:r>
        <w:rPr>
          <w:highlight w:val="none"/>
          <w:rPrChange w:id="15" w:author="scherbakova-yua" w:date="2025-10-06T11:27:27Z" oouserid="scherbakova-yua">
            <w:rPr>
              <w:highlight w:val="none"/>
            </w:rPr>
          </w:rPrChange>
        </w:rPr>
      </w:r>
    </w:p>
    <w:p>
      <w:pPr>
        <w:tabs>
          <w:tab w:val="left" w:pos="924" w:leader="none"/>
        </w:tabs>
        <w:spacing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VII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Инвестиции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0"/>
        <w:jc w:val="both"/>
        <w:rPr>
          <w:color w:val="00b050"/>
          <w:highlight w:val="none"/>
        </w:rPr>
      </w:pPr>
      <w:r>
        <w:rPr>
          <w:color w:val="00b050"/>
          <w:highlight w:val="none"/>
        </w:rPr>
      </w:r>
      <w:r>
        <w:rPr>
          <w:color w:val="00b050"/>
          <w:highlight w:val="none"/>
        </w:rPr>
      </w:r>
      <w:r>
        <w:rPr>
          <w:color w:val="00b050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 полугодия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объем инвестиций составил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116,8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на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 выше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уровня аналогичного периода 2024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года.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видовой структуре наибольший удельный вес инвестиционных вложений приходится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машин и оборудования – 45,0 %, на строительство сооружений – 37,6 %.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Главный источник финансирования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собственные средства предприятий, которые составили в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2025 года 58,7 %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общего объема инвестиций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При этом сумма бюджетных инвестиций из всех уровней бюджетной систе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мы России, вложенных на террито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рии города Перми,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составила 23,9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 от всех инвестиционных вложений или 27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млрд. руб.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Ожидаемый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рост совокупных объемов инвестирования в 2025 году объясняется комплексом мер государственной поддержки, стимулирующих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бизнеса. Ключевым фактором останется инициативность частного сектора экономики. Параллельно положительный эффект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беспечат программы импортозамещения, реализация которых повысит привлекательность инвестиционного климата региона.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конец 2025 года инвестиции в основной капитал увеличатся на 2,8 % к уровню 2024 года, достигнув уровня в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,4 млрд. руб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Сохранение положительной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динамики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инвестиций в основной капитал продолжится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прогнозируемый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2026-2028 гг. Программы, направленные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обеспечение отечественного производства продукции будут способствовать дальнейшему увеличению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мов инвестирования.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i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ост объема инвестиций в основн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капитал в фактических ценах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базовому сценарию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составит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124,4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уровню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года,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консервативному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сценарию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105,5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VIII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Цены и тарифы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709"/>
        <w:jc w:val="both"/>
        <w:rPr>
          <w:color w:val="c0504d"/>
          <w:highlight w:val="none"/>
        </w:rPr>
      </w:pPr>
      <w:r>
        <w:rPr>
          <w:color w:val="c0504d"/>
          <w:highlight w:val="none"/>
        </w:rPr>
      </w:r>
      <w:r>
        <w:rPr>
          <w:color w:val="c0504d"/>
          <w:highlight w:val="none"/>
        </w:rPr>
      </w:r>
      <w:r>
        <w:rPr>
          <w:color w:val="c0504d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итогам 2024 года индекс потребительских цен в среднегодовом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выражении составил 109,1 % к уровню 2023 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568"/>
        <w:jc w:val="both"/>
      </w:pPr>
      <w:r>
        <w:rPr>
          <w:shd w:val="clear" w:color="auto" w:fill="ffffff"/>
        </w:rPr>
        <w:t xml:space="preserve">В январе-августе 2025 года наблюдался рост цен как на</w:t>
      </w:r>
      <w:r>
        <w:rPr>
          <w:shd w:val="clear" w:color="auto" w:fill="ffffff"/>
        </w:rPr>
        <w:t xml:space="preserve"> товары, </w:t>
      </w:r>
      <w:r>
        <w:rPr>
          <w:highlight w:val="none"/>
        </w:rPr>
        <w:br/>
      </w:r>
      <w:r>
        <w:rPr>
          <w:shd w:val="clear" w:color="auto" w:fill="ffffff"/>
        </w:rPr>
        <w:t xml:space="preserve">так и на услуги. </w:t>
      </w:r>
      <w:r>
        <w:rPr>
          <w:shd w:val="clear" w:color="auto" w:fill="ffffff"/>
        </w:rPr>
        <w:t xml:space="preserve">Цены на продовольственные товары увеличились на 3,5 % </w:t>
      </w:r>
      <w:r>
        <w:rPr>
          <w:highlight w:val="none"/>
        </w:rPr>
        <w:br/>
      </w:r>
      <w:r>
        <w:rPr>
          <w:shd w:val="clear" w:color="auto" w:fill="ffffff"/>
        </w:rPr>
        <w:t xml:space="preserve">к декабрю 2024 года, на непродовольственные товары – на 2,1 %. Стоимость услуг стала больше на 8,9 %.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итогам 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месяцев 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индекс потребительских цен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109,8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 в годовом выражении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итог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 2025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инфляция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составит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110,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%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среднегодовом выражении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прогнозном периоде инфляция снизится до 105,8 % в среднем за 2026 год,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104,1 %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67"/>
        <w:ind w:firstLine="709"/>
        <w:jc w:val="center"/>
        <w:rPr>
          <w:rFonts w:ascii="Times New Roman" w:hAnsi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" w:name="_GoBack"/>
      <w:r>
        <w:rPr>
          <w:rFonts w:ascii="Times New Roman" w:hAnsi="Times New Roman" w:cs="Times New Roman"/>
          <w:sz w:val="28"/>
          <w:szCs w:val="28"/>
        </w:rPr>
      </w:r>
      <w:bookmarkEnd w:id="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IX. Демография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</w:p>
    <w:p>
      <w:pPr>
        <w:pStyle w:val="967"/>
        <w:ind w:firstLine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lang w:eastAsia="en-US"/>
        </w:rPr>
      </w:r>
      <w:r>
        <w:rPr>
          <w:lang w:eastAsia="en-US"/>
        </w:rPr>
        <w:t xml:space="preserve">На начало 2025 года численность постоянного населения города Перми достигла отме</w:t>
      </w:r>
      <w:r>
        <w:rPr>
          <w:highlight w:val="none"/>
          <w:lang w:eastAsia="en-US"/>
        </w:rPr>
        <w:t xml:space="preserve">тки в 1 027,5 </w:t>
      </w:r>
      <w:r>
        <w:rPr>
          <w:highlight w:val="none"/>
          <w:lang w:eastAsia="en-US"/>
        </w:rPr>
        <w:t xml:space="preserve">тыс. чел</w:t>
      </w:r>
      <w:r>
        <w:rPr>
          <w:highlight w:val="none"/>
          <w:lang w:eastAsia="en-US"/>
        </w:rPr>
        <w:t xml:space="preserve">., увеличившись относительно начала предыдущего года на 0,6 </w:t>
      </w:r>
      <w:r>
        <w:rPr>
          <w:highlight w:val="none"/>
          <w:lang w:eastAsia="en-US"/>
        </w:rPr>
        <w:t xml:space="preserve">тыс. чел.</w:t>
      </w:r>
      <w:r>
        <w:rPr>
          <w:highlight w:val="none"/>
          <w:lang w:eastAsia="en-US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  <w:lang w:eastAsia="en-US"/>
        </w:rPr>
        <w:t xml:space="preserve">За январь-декабрь 2024 года в Перми зарегистрировано </w:t>
      </w:r>
      <w:r>
        <w:rPr>
          <w:highlight w:val="none"/>
          <w:lang w:eastAsia="en-US"/>
        </w:rPr>
        <w:t xml:space="preserve">8 797 </w:t>
      </w:r>
      <w:r>
        <w:rPr>
          <w:highlight w:val="none"/>
          <w:lang w:eastAsia="en-US"/>
        </w:rPr>
        <w:t xml:space="preserve">родившихся</w:t>
      </w:r>
      <w:r>
        <w:rPr>
          <w:highlight w:val="none"/>
          <w:lang w:eastAsia="en-US"/>
        </w:rPr>
        <w:t xml:space="preserve">, это меньше на 2,5 %</w:t>
      </w:r>
      <w:r>
        <w:rPr>
          <w:highlight w:val="none"/>
          <w:lang w:eastAsia="en-US"/>
        </w:rPr>
        <w:t xml:space="preserve"> </w:t>
      </w:r>
      <w:r>
        <w:rPr>
          <w:highlight w:val="none"/>
          <w:lang w:eastAsia="en-US"/>
        </w:rPr>
        <w:t xml:space="preserve">по сравнению с аналогичным периодом 2023 года. Количество </w:t>
      </w:r>
      <w:r>
        <w:rPr>
          <w:highlight w:val="none"/>
          <w:lang w:eastAsia="en-US"/>
        </w:rPr>
        <w:t xml:space="preserve">умерших</w:t>
      </w:r>
      <w:r>
        <w:rPr>
          <w:highlight w:val="none"/>
          <w:lang w:eastAsia="en-US"/>
        </w:rPr>
        <w:t xml:space="preserve"> составило 12 261 чел., увеличившись на 5,1 % относительно </w:t>
      </w:r>
      <w:r>
        <w:rPr>
          <w:highlight w:val="none"/>
          <w:lang w:eastAsia="en-US"/>
        </w:rPr>
        <w:t xml:space="preserve">2023 года</w:t>
      </w:r>
      <w:r>
        <w:rPr>
          <w:highlight w:val="none"/>
          <w:lang w:eastAsia="en-US"/>
        </w:rPr>
        <w:t xml:space="preserve">. </w:t>
      </w:r>
      <w:r>
        <w:rPr>
          <w:highlight w:val="none"/>
          <w:lang w:eastAsia="en-US"/>
        </w:rPr>
        <w:t xml:space="preserve">Таким образом, </w:t>
      </w:r>
      <w:r>
        <w:rPr>
          <w:highlight w:val="none"/>
          <w:lang w:eastAsia="en-US"/>
        </w:rPr>
        <w:t xml:space="preserve">естественная убыль </w:t>
      </w:r>
      <w:r>
        <w:rPr>
          <w:highlight w:val="none"/>
          <w:lang w:eastAsia="en-US"/>
        </w:rPr>
        <w:t xml:space="preserve">населения </w:t>
      </w:r>
      <w:r>
        <w:rPr>
          <w:highlight w:val="none"/>
          <w:lang w:eastAsia="en-US"/>
        </w:rPr>
        <w:t xml:space="preserve">по итогам 2024 года</w:t>
      </w:r>
      <w:r>
        <w:rPr>
          <w:highlight w:val="none"/>
          <w:lang w:eastAsia="en-US"/>
        </w:rPr>
        <w:t xml:space="preserve"> составил</w:t>
      </w:r>
      <w:r>
        <w:rPr>
          <w:highlight w:val="none"/>
          <w:lang w:eastAsia="en-US"/>
        </w:rPr>
        <w:t xml:space="preserve">а</w:t>
      </w:r>
      <w:r>
        <w:rPr>
          <w:highlight w:val="none"/>
          <w:lang w:eastAsia="en-US"/>
        </w:rPr>
        <w:t xml:space="preserve"> 3 </w:t>
      </w:r>
      <w:r>
        <w:rPr>
          <w:highlight w:val="none"/>
          <w:lang w:eastAsia="en-US"/>
        </w:rPr>
        <w:t xml:space="preserve">4</w:t>
      </w:r>
      <w:r>
        <w:rPr>
          <w:highlight w:val="none"/>
          <w:lang w:eastAsia="en-US"/>
        </w:rPr>
        <w:t xml:space="preserve">6</w:t>
      </w:r>
      <w:r>
        <w:rPr>
          <w:highlight w:val="none"/>
          <w:lang w:eastAsia="en-US"/>
        </w:rPr>
        <w:t xml:space="preserve">4</w:t>
      </w:r>
      <w:r>
        <w:rPr>
          <w:highlight w:val="none"/>
          <w:lang w:eastAsia="en-US"/>
        </w:rPr>
        <w:t xml:space="preserve"> че</w:t>
      </w:r>
      <w:r>
        <w:rPr>
          <w:highlight w:val="none"/>
          <w:lang w:eastAsia="en-US"/>
        </w:rPr>
        <w:t xml:space="preserve">л.</w:t>
      </w:r>
      <w:r>
        <w:rPr>
          <w:highlight w:val="none"/>
          <w:lang w:eastAsia="en-US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highlight w:val="none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  <w:t xml:space="preserve">Увеличение числа </w:t>
      </w:r>
      <w:r>
        <w:rPr>
          <w:highlight w:val="none"/>
          <w:lang w:eastAsia="en-US"/>
        </w:rPr>
        <w:t xml:space="preserve">населения города Перми</w:t>
      </w:r>
      <w:r>
        <w:rPr>
          <w:highlight w:val="none"/>
          <w:lang w:eastAsia="en-US"/>
        </w:rPr>
        <w:t xml:space="preserve"> было к</w:t>
      </w:r>
      <w:r>
        <w:rPr>
          <w:highlight w:val="none"/>
          <w:lang w:eastAsia="en-US"/>
        </w:rPr>
        <w:t xml:space="preserve">омпенсировано </w:t>
      </w:r>
      <w:r>
        <w:rPr>
          <w:highlight w:val="none"/>
          <w:lang w:eastAsia="en-US"/>
        </w:rPr>
        <w:t xml:space="preserve">за счёт миграционного прироста (4 061 чел.). Ожидается, что к концу 2025 года миграция </w:t>
      </w:r>
      <w:r>
        <w:rPr>
          <w:highlight w:val="none"/>
          <w:lang w:eastAsia="en-US"/>
        </w:rPr>
        <w:t xml:space="preserve">составит порядк</w:t>
      </w:r>
      <w:r>
        <w:rPr>
          <w:highlight w:val="none"/>
          <w:lang w:eastAsia="en-US"/>
        </w:rPr>
        <w:t xml:space="preserve">а</w:t>
      </w:r>
      <w:r>
        <w:rPr>
          <w:highlight w:val="none"/>
          <w:lang w:eastAsia="en-US"/>
        </w:rPr>
        <w:t xml:space="preserve"> 3 тыс. </w:t>
      </w:r>
      <w:r>
        <w:rPr>
          <w:highlight w:val="none"/>
          <w:lang w:eastAsia="en-US"/>
        </w:rPr>
        <w:t xml:space="preserve">чел</w:t>
      </w:r>
      <w:r>
        <w:rPr>
          <w:highlight w:val="none"/>
          <w:lang w:eastAsia="en-US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66"/>
        <w:ind w:firstLine="709"/>
        <w:jc w:val="both"/>
        <w:rPr>
          <w:lang w:eastAsia="en-US"/>
          <w14:ligatures w14:val="none"/>
        </w:rPr>
      </w:pPr>
      <w:r>
        <w:rPr>
          <w:rFonts w:eastAsia="Calibri"/>
          <w:highlight w:val="none"/>
          <w:lang w:eastAsia="en-US"/>
        </w:rPr>
        <w:t xml:space="preserve">На период до 2028 года предполагается сохранение тенденции низкой рождаемости вследствие сокращения доли молодых женщин репродуктивного возраста и изменения мод</w:t>
      </w:r>
      <w:r>
        <w:rPr>
          <w:rFonts w:eastAsia="Calibri"/>
          <w:lang w:eastAsia="en-US"/>
        </w:rPr>
        <w:t xml:space="preserve">ели поведения семей в сторону меньшего количества </w:t>
      </w:r>
      <w:r>
        <w:rPr>
          <w:lang w:eastAsia="en-US"/>
        </w:rPr>
        <w:t xml:space="preserve">детей. Увеличение продолжительности жизни позво</w:t>
      </w:r>
      <w:r>
        <w:rPr>
          <w:lang w:eastAsia="en-US"/>
        </w:rPr>
        <w:t xml:space="preserve">л</w:t>
      </w:r>
      <w:r>
        <w:rPr>
          <w:lang w:eastAsia="en-US"/>
        </w:rPr>
        <w:t xml:space="preserve">ит снизить уровень смертности среди трудоспособного населения, однако число умерших останется высоким за счет старения возрастной структуры населения. Основные факторы повышения смертности связаны с сердечно-сосудистыми заболеваниями, онкологией и возраст-</w:t>
      </w:r>
      <w:r>
        <w:rPr>
          <w:lang w:eastAsia="en-US"/>
        </w:rPr>
        <w:t xml:space="preserve">зависимой патологией. </w:t>
      </w:r>
      <w:r>
        <w:rPr>
          <w:lang w:eastAsia="en-US"/>
          <w14:ligatures w14:val="none"/>
        </w:rPr>
      </w:r>
      <w:r>
        <w:rPr>
          <w:lang w:eastAsia="en-US"/>
          <w14:ligatures w14:val="none"/>
        </w:rPr>
      </w:r>
    </w:p>
    <w:p>
      <w:pPr>
        <w:pStyle w:val="966"/>
        <w:ind w:firstLine="709"/>
        <w:jc w:val="both"/>
        <w:rPr>
          <w:lang w:eastAsia="en-US"/>
          <w14:ligatures w14:val="none"/>
        </w:rPr>
      </w:pPr>
      <w:r>
        <w:rPr>
          <w:lang w:eastAsia="en-US"/>
        </w:rPr>
        <w:t xml:space="preserve">Миграционный прирост будет оставаться ключевым фактором поддержания общей численности населения города Перми, способствуя незначительному росту</w:t>
      </w:r>
      <w:r>
        <w:rPr>
          <w:lang w:eastAsia="en-US"/>
        </w:rPr>
        <w:t xml:space="preserve">. </w:t>
      </w:r>
      <w:r>
        <w:rPr>
          <w:lang w:eastAsia="en-US"/>
          <w14:ligatures w14:val="none"/>
        </w:rPr>
      </w:r>
      <w:r>
        <w:rPr>
          <w:lang w:eastAsia="en-US"/>
          <w14:ligatures w14:val="none"/>
        </w:rPr>
      </w:r>
    </w:p>
    <w:p>
      <w:pPr>
        <w:pStyle w:val="966"/>
        <w:ind w:firstLine="709"/>
        <w:jc w:val="both"/>
        <w:rPr>
          <w:rFonts w:eastAsia="Calibri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8" w:header="284" w:footer="680" w:gutter="0"/>
          <w:pgNumType w:start="9"/>
          <w:cols w:num="1" w:sep="0" w:space="720" w:equalWidth="1"/>
          <w:docGrid w:linePitch="360"/>
        </w:sectPr>
      </w:pPr>
      <w:r>
        <w:rPr>
          <w:lang w:eastAsia="en-US"/>
        </w:rPr>
        <w:t xml:space="preserve">С учетом сложившейся динамики числа родившихся и </w:t>
      </w:r>
      <w:r>
        <w:rPr>
          <w:lang w:eastAsia="en-US"/>
        </w:rPr>
        <w:t xml:space="preserve">умерших, а также миграции численность населения города Перми </w:t>
      </w:r>
      <w:r>
        <w:rPr>
          <w:lang w:eastAsia="en-US"/>
        </w:rPr>
        <w:t xml:space="preserve">будет увеличиваться небольшими темпами и по состоянию на начало 2028 года составит около </w:t>
      </w:r>
      <w:r>
        <w:rPr>
          <w:lang w:eastAsia="en-US"/>
        </w:rPr>
        <w:t xml:space="preserve">1 028,5 тыс. чел.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ageBreakBefore/>
        <w:spacing w:after="0" w:line="240" w:lineRule="exact"/>
        <w:ind w:left="935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spacing w:after="0" w:line="240" w:lineRule="exact"/>
        <w:ind w:left="935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прогнозу социально-экономическо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развития города Перми на 2026 год и период до 2028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</w:rPr>
      </w:r>
    </w:p>
    <w:p>
      <w:pPr>
        <w:spacing w:line="240" w:lineRule="auto"/>
        <w:jc w:val="right"/>
        <w:rPr>
          <w:rFonts w:ascii="Times New Roman" w:hAnsi="Times New Roman" w:cs="Times New Roman"/>
          <w:bCs/>
          <w:color w:val="000000"/>
          <w:sz w:val="2"/>
          <w:szCs w:val="28"/>
        </w:rPr>
      </w:pPr>
      <w:r>
        <w:rPr>
          <w:rFonts w:ascii="Times New Roman" w:hAnsi="Times New Roman" w:cs="Times New Roman"/>
          <w:bCs/>
          <w:color w:val="000000"/>
          <w:sz w:val="2"/>
          <w:szCs w:val="28"/>
        </w:rPr>
      </w:r>
      <w:r>
        <w:rPr>
          <w:rFonts w:ascii="Times New Roman" w:hAnsi="Times New Roman" w:cs="Times New Roman"/>
          <w:bCs/>
          <w:color w:val="000000"/>
          <w:sz w:val="2"/>
          <w:szCs w:val="28"/>
        </w:rPr>
      </w:r>
      <w:r>
        <w:rPr>
          <w:rFonts w:ascii="Times New Roman" w:hAnsi="Times New Roman" w:cs="Times New Roman"/>
          <w:bCs/>
          <w:color w:val="000000"/>
          <w:sz w:val="2"/>
          <w:szCs w:val="28"/>
        </w:rPr>
      </w:r>
    </w:p>
    <w:p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ЦЕНАРНЫЕ УСЛОВИЯ И ПАРАМЕТРЫ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прогноза социально-экономического развития г. Перми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период до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</w:p>
    <w:p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  <w:highlight w:val="yellow"/>
        </w:rPr>
      </w:r>
    </w:p>
    <w:tbl>
      <w:tblPr>
        <w:tblStyle w:val="980"/>
        <w:tblW w:w="16160" w:type="dxa"/>
        <w:jc w:val="center"/>
        <w:tblLook w:val="04A0" w:firstRow="1" w:lastRow="0" w:firstColumn="1" w:lastColumn="0" w:noHBand="0" w:noVBand="1"/>
      </w:tblPr>
      <w:tblGrid>
        <w:gridCol w:w="546"/>
        <w:gridCol w:w="4552"/>
        <w:gridCol w:w="1134"/>
        <w:gridCol w:w="1174"/>
        <w:gridCol w:w="1945"/>
        <w:gridCol w:w="1361"/>
        <w:gridCol w:w="1362"/>
        <w:gridCol w:w="1362"/>
        <w:gridCol w:w="1362"/>
        <w:gridCol w:w="1362"/>
      </w:tblGrid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Варианты сценариев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3306" w:type="dxa"/>
            <w:gridSpan w:val="2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086" w:type="dxa"/>
            <w:gridSpan w:val="3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spacing w:after="0" w:line="240" w:lineRule="auto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Style w:val="980"/>
        <w:tblW w:w="16160" w:type="dxa"/>
        <w:jc w:val="center"/>
        <w:tblLook w:val="04A0" w:firstRow="1" w:lastRow="0" w:firstColumn="1" w:lastColumn="0" w:noHBand="0" w:noVBand="1"/>
      </w:tblPr>
      <w:tblGrid>
        <w:gridCol w:w="546"/>
        <w:gridCol w:w="4552"/>
        <w:gridCol w:w="1134"/>
        <w:gridCol w:w="1174"/>
        <w:gridCol w:w="1945"/>
        <w:gridCol w:w="1361"/>
        <w:gridCol w:w="1362"/>
        <w:gridCol w:w="1362"/>
        <w:gridCol w:w="1362"/>
        <w:gridCol w:w="1362"/>
      </w:tblGrid>
      <w:tr>
        <w:trPr>
          <w:jc w:val="center"/>
          <w:trHeight w:val="300"/>
          <w:tblHeader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Уровень жизни населения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Фонд заработной платы работников крупных и средних предприятий и организаций города (без внешних совместителей)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246 379,7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292 444,1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335 500,0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372 500,0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399 300,0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424 100,0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368 500,0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387 500,0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404 600,0</w:t>
            </w:r>
          </w:p>
        </w:tc>
      </w:tr>
      <w:tr>
        <w:trPr>
          <w:jc w:val="center"/>
          <w:trHeight w:val="467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Темп роста (снижения) фонда заработной платы работников крупных и средних предприятий и организаций города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(без внешних совместителей)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116,3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118,7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114,7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111,0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106,2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109,8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104,4</w:t>
            </w:r>
          </w:p>
        </w:tc>
      </w:tr>
      <w:tr>
        <w:trPr>
          <w:jc w:val="center"/>
          <w:trHeight w:val="6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Фонд заработной платы работников муниципальных бюджетных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12 855,4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15 330,1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17 790,1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23 660,6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23 815,4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23 815,4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jc w:val="center"/>
          <w:trHeight w:val="405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Справочно: Среднемесячная заработная плата работников крупных и средних предприятий и организаций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(без внешних совместителей)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74 270,1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87 908,6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99 500,0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118 400,0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125 800,0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109 700,0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115 500,0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120 800,0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Труд и занятость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39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Среднесписочная численность работающих на крупных и средних предприятиях города (без внешних совместителей)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275,5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280,4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281,0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279,5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279,0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Численность официально зарегистрированных безработных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0,9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0,9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0,9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0,9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1,1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1,1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Промышленность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62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Оборот крупных и средних предприятий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1 398 422,6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1 679 310,9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1 790 700,0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1 924 000,0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2 085 400,0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2 260 700,0</w:t>
            </w:r>
          </w:p>
        </w:tc>
      </w:tr>
      <w:tr>
        <w:trPr>
          <w:jc w:val="center"/>
          <w:trHeight w:val="424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1 853 800,0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1 932 700,0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2 015 000,0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отгруженной продукции собственного производства, выполненных работ и услуг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839 707,4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1 006 761,5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1 052 500,0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1 120 500,0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1 201 800,0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1 296 900,0</w:t>
            </w:r>
          </w:p>
        </w:tc>
      </w:tr>
      <w:tr>
        <w:trPr>
          <w:jc w:val="center"/>
          <w:trHeight w:val="389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1 072 800,0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1 100 500,0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1 130 000,0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Потребительский рынок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Оборот розничной торговли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(без субъектов малого предпринимательства)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218 646,8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265 663,5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287 500,0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309 200,0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326 500,0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343 500,0</w:t>
            </w:r>
          </w:p>
        </w:tc>
      </w:tr>
      <w:tr>
        <w:trPr>
          <w:jc w:val="center"/>
          <w:trHeight w:val="344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299 900,0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312 000,0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323 500,0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Оборот общественного питания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(без субъектов малого предпринимательства)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4 794,2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6 920,9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8 270,0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9 010,0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9 700,0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10 500,0</w:t>
            </w:r>
          </w:p>
        </w:tc>
      </w:tr>
      <w:tr>
        <w:trPr>
          <w:jc w:val="center"/>
          <w:trHeight w:val="383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8 800,0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9 300,0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9 700,0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Финансы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Совокупная прибыль крупных и средних предприятий и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177 646,6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311 497,8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198 500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209 600,0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222 300,0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236 500,0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200 100,0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205 500,0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211 300,0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Инвестиции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инвестиций в основной капитал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за счет всех источников финансирования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млн. руб.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222 105,5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336 046,6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345 400,0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364 200,0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395 500,0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429 800,0</w:t>
            </w:r>
          </w:p>
        </w:tc>
      </w:tr>
      <w:tr>
        <w:trPr>
          <w:jc w:val="center"/>
          <w:trHeight w:val="425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351 200,0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357 500,0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364 500,0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Цены и тарифы 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jc w:val="center"/>
          <w:trHeight w:val="6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Сводный индекс потребительских цен (среднегодовой)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105,8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109,1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110,1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105,8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104,1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104,1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Индекс-дефлятор цен на тепловую энергию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114,0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106,2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112,9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112,2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109,2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104,8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104,8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Индекс-дефлятор цен на электрическую энергию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114,0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105,7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112,9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112,2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109,2</w:t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104,8</w:t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109,2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104,8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95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Цены на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нефть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доллар США/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баррель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82,6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80,8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70,0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72,0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/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55,0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57,3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60,2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34"/>
        </w:trPr>
        <w:tblPrEx/>
        <w:tc>
          <w:tcPr>
            <w:tcW w:w="546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Курс доллара (среднегодовой)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рублей за доллар США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баз.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84,7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92,4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vMerge w:val="restart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86,1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95,8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4552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конс.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1" w:type="dxa"/>
            <w:vMerge w:val="continue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62" w:type="dxa"/>
            <w:vMerge w:val="continue"/>
            <w:noWrap w:val="false"/>
            <w:textDirection w:val="lrTb"/>
          </w:tcPr>
          <w:p/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94,8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99,3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104,2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5614" w:type="dxa"/>
            <w:gridSpan w:val="9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Демография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rPr>
          <w:jc w:val="center"/>
          <w:trHeight w:val="503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Численность постоянного населения города (на начало года)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1 027,2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1 027,7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1 028,0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1 028,5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Число родившихся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9,1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Число умерших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12,3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11,6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Миграционный прирост/убыль населения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2 485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4 061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3 000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jc w:val="center"/>
          <w:trHeight w:val="300"/>
        </w:trPr>
        <w:tblPrEx/>
        <w:tc>
          <w:tcPr>
            <w:tcW w:w="54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4552" w:type="dxa"/>
            <w:noWrap w:val="false"/>
            <w:textDirection w:val="lrTb"/>
          </w:tcPr>
          <w:p>
            <w:pP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Численность детей до 18 лет (на начало года)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тыс. чел.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17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W w:w="1945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230,1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1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227,6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223,8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219,8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362" w:type="dxa"/>
            <w:noWrap w:val="false"/>
            <w:textDirection w:val="lrTb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216,7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/>
          <w:sz w:val="32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/>
          <w:sz w:val="32"/>
          <w:szCs w:val="28"/>
          <w:highlight w:val="none"/>
        </w:rPr>
      </w:r>
    </w:p>
    <w:sectPr>
      <w:headerReference w:type="default" r:id="rId11"/>
      <w:headerReference w:type="even" r:id="rId12"/>
      <w:headerReference w:type="first" r:id="rId13"/>
      <w:footerReference w:type="default" r:id="rId15"/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9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8009038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</w:rPr>
          <w:t xml:space="preserve">10</w:t>
        </w:r>
        <w:r>
          <w:rPr>
            <w:sz w:val="28"/>
          </w:rPr>
          <w:fldChar w:fldCharType="end"/>
        </w:r>
        <w:r>
          <w:rPr>
            <w:sz w:val="28"/>
          </w:rPr>
        </w:r>
        <w:r>
          <w:rPr>
            <w:sz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framePr w:wrap="around" w:vAnchor="text" w:hAnchor="margin" w:xAlign="center" w:y="1"/>
      <w:rPr>
        <w:rStyle w:val="962"/>
      </w:rPr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separate"/>
    </w:r>
    <w:r>
      <w:rPr>
        <w:rStyle w:val="962"/>
      </w:rPr>
      <w:t xml:space="preserve">4</w: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96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8009038"/>
      <w:docPartObj>
        <w:docPartGallery w:val="Page Numbers (Top of Page)"/>
        <w:docPartUnique w:val="true"/>
      </w:docPartObj>
      <w:rPr/>
    </w:sdtPr>
    <w:sdtContent>
      <w:p>
        <w:pPr>
          <w:pStyle w:val="963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</w:rPr>
          <w:t xml:space="preserve">10</w:t>
        </w:r>
        <w:r>
          <w:rPr>
            <w:sz w:val="28"/>
          </w:rPr>
          <w:fldChar w:fldCharType="end"/>
        </w:r>
        <w:r>
          <w:rPr>
            <w:sz w:val="28"/>
          </w:rPr>
        </w:r>
        <w:r>
          <w:rPr>
            <w:sz w:val="28"/>
          </w:rPr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framePr w:wrap="around" w:vAnchor="text" w:hAnchor="margin" w:xAlign="center" w:y="1"/>
      <w:rPr>
        <w:rStyle w:val="962"/>
      </w:rPr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separate"/>
    </w:r>
    <w:r>
      <w:rPr>
        <w:rStyle w:val="962"/>
      </w:rPr>
      <w:t xml:space="preserve">4</w:t>
    </w:r>
    <w:r>
      <w:rPr>
        <w:rStyle w:val="962"/>
      </w:rPr>
      <w:fldChar w:fldCharType="end"/>
    </w:r>
    <w:r>
      <w:rPr>
        <w:rStyle w:val="962"/>
      </w:rPr>
    </w:r>
    <w:r>
      <w:rPr>
        <w:rStyle w:val="962"/>
      </w:rPr>
    </w:r>
  </w:p>
  <w:p>
    <w:pPr>
      <w:pStyle w:val="96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2">
    <w:name w:val="Heading 1"/>
    <w:basedOn w:val="954"/>
    <w:next w:val="954"/>
    <w:link w:val="78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3">
    <w:name w:val="Heading 1 Char"/>
    <w:basedOn w:val="955"/>
    <w:link w:val="782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4"/>
    <w:next w:val="954"/>
    <w:link w:val="78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5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4"/>
    <w:next w:val="954"/>
    <w:link w:val="78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5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4"/>
    <w:next w:val="954"/>
    <w:link w:val="78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5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4"/>
    <w:next w:val="954"/>
    <w:link w:val="79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5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4"/>
    <w:next w:val="954"/>
    <w:link w:val="79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5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4"/>
    <w:next w:val="954"/>
    <w:link w:val="79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5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4"/>
    <w:next w:val="954"/>
    <w:link w:val="79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5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4"/>
    <w:next w:val="954"/>
    <w:link w:val="79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5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List Paragraph"/>
    <w:basedOn w:val="954"/>
    <w:uiPriority w:val="34"/>
    <w:qFormat/>
    <w:pPr>
      <w:ind w:left="720"/>
      <w:contextualSpacing/>
    </w:pPr>
  </w:style>
  <w:style w:type="paragraph" w:styleId="801">
    <w:name w:val="No Spacing"/>
    <w:uiPriority w:val="1"/>
    <w:qFormat/>
    <w:pPr>
      <w:spacing w:before="0" w:after="0" w:line="240" w:lineRule="auto"/>
    </w:pPr>
  </w:style>
  <w:style w:type="paragraph" w:styleId="802">
    <w:name w:val="Title"/>
    <w:basedOn w:val="954"/>
    <w:next w:val="954"/>
    <w:link w:val="80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03">
    <w:name w:val="Title Char"/>
    <w:basedOn w:val="955"/>
    <w:link w:val="802"/>
    <w:uiPriority w:val="10"/>
    <w:rPr>
      <w:sz w:val="48"/>
      <w:szCs w:val="48"/>
    </w:rPr>
  </w:style>
  <w:style w:type="paragraph" w:styleId="804">
    <w:name w:val="Subtitle"/>
    <w:basedOn w:val="954"/>
    <w:next w:val="954"/>
    <w:link w:val="805"/>
    <w:uiPriority w:val="11"/>
    <w:qFormat/>
    <w:pPr>
      <w:spacing w:before="200" w:after="200"/>
    </w:pPr>
    <w:rPr>
      <w:sz w:val="24"/>
      <w:szCs w:val="24"/>
    </w:rPr>
  </w:style>
  <w:style w:type="character" w:styleId="805">
    <w:name w:val="Subtitle Char"/>
    <w:basedOn w:val="955"/>
    <w:link w:val="804"/>
    <w:uiPriority w:val="11"/>
    <w:rPr>
      <w:sz w:val="24"/>
      <w:szCs w:val="24"/>
    </w:rPr>
  </w:style>
  <w:style w:type="paragraph" w:styleId="806">
    <w:name w:val="Quote"/>
    <w:basedOn w:val="954"/>
    <w:next w:val="954"/>
    <w:link w:val="807"/>
    <w:uiPriority w:val="29"/>
    <w:qFormat/>
    <w:pPr>
      <w:ind w:left="720" w:right="720"/>
    </w:pPr>
    <w:rPr>
      <w:i/>
    </w:rPr>
  </w:style>
  <w:style w:type="character" w:styleId="807">
    <w:name w:val="Quote Char"/>
    <w:link w:val="806"/>
    <w:uiPriority w:val="29"/>
    <w:rPr>
      <w:i/>
    </w:rPr>
  </w:style>
  <w:style w:type="paragraph" w:styleId="808">
    <w:name w:val="Intense Quote"/>
    <w:basedOn w:val="954"/>
    <w:next w:val="954"/>
    <w:link w:val="8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09">
    <w:name w:val="Intense Quote Char"/>
    <w:link w:val="808"/>
    <w:uiPriority w:val="30"/>
    <w:rPr>
      <w:i/>
    </w:rPr>
  </w:style>
  <w:style w:type="character" w:styleId="810">
    <w:name w:val="Header Char"/>
    <w:basedOn w:val="955"/>
    <w:link w:val="963"/>
    <w:uiPriority w:val="99"/>
  </w:style>
  <w:style w:type="character" w:styleId="811">
    <w:name w:val="Footer Char"/>
    <w:basedOn w:val="955"/>
    <w:link w:val="960"/>
    <w:uiPriority w:val="99"/>
  </w:style>
  <w:style w:type="paragraph" w:styleId="812">
    <w:name w:val="Caption"/>
    <w:basedOn w:val="954"/>
    <w:next w:val="954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>
    <w:name w:val="Caption Char"/>
    <w:basedOn w:val="955"/>
    <w:link w:val="812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9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4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5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9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0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1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2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53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54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55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3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4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3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4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5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6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7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8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4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5"/>
    <w:uiPriority w:val="99"/>
    <w:unhideWhenUsed/>
    <w:rPr>
      <w:vertAlign w:val="superscript"/>
    </w:rPr>
  </w:style>
  <w:style w:type="character" w:styleId="942">
    <w:name w:val="Endnote Text Char"/>
    <w:link w:val="977"/>
    <w:uiPriority w:val="99"/>
    <w:rPr>
      <w:sz w:val="20"/>
    </w:rPr>
  </w:style>
  <w:style w:type="paragraph" w:styleId="943">
    <w:name w:val="toc 1"/>
    <w:basedOn w:val="954"/>
    <w:next w:val="954"/>
    <w:uiPriority w:val="39"/>
    <w:unhideWhenUsed/>
    <w:pPr>
      <w:spacing w:after="57"/>
      <w:ind w:left="0" w:right="0" w:firstLine="0"/>
    </w:pPr>
  </w:style>
  <w:style w:type="paragraph" w:styleId="944">
    <w:name w:val="toc 2"/>
    <w:basedOn w:val="954"/>
    <w:next w:val="954"/>
    <w:uiPriority w:val="39"/>
    <w:unhideWhenUsed/>
    <w:pPr>
      <w:spacing w:after="57"/>
      <w:ind w:left="283" w:right="0" w:firstLine="0"/>
    </w:pPr>
  </w:style>
  <w:style w:type="paragraph" w:styleId="945">
    <w:name w:val="toc 3"/>
    <w:basedOn w:val="954"/>
    <w:next w:val="954"/>
    <w:uiPriority w:val="39"/>
    <w:unhideWhenUsed/>
    <w:pPr>
      <w:spacing w:after="57"/>
      <w:ind w:left="567" w:right="0" w:firstLine="0"/>
    </w:pPr>
  </w:style>
  <w:style w:type="paragraph" w:styleId="946">
    <w:name w:val="toc 4"/>
    <w:basedOn w:val="954"/>
    <w:next w:val="954"/>
    <w:uiPriority w:val="39"/>
    <w:unhideWhenUsed/>
    <w:pPr>
      <w:spacing w:after="57"/>
      <w:ind w:left="850" w:right="0" w:firstLine="0"/>
    </w:pPr>
  </w:style>
  <w:style w:type="paragraph" w:styleId="947">
    <w:name w:val="toc 5"/>
    <w:basedOn w:val="954"/>
    <w:next w:val="954"/>
    <w:uiPriority w:val="39"/>
    <w:unhideWhenUsed/>
    <w:pPr>
      <w:spacing w:after="57"/>
      <w:ind w:left="1134" w:right="0" w:firstLine="0"/>
    </w:pPr>
  </w:style>
  <w:style w:type="paragraph" w:styleId="948">
    <w:name w:val="toc 6"/>
    <w:basedOn w:val="954"/>
    <w:next w:val="954"/>
    <w:uiPriority w:val="39"/>
    <w:unhideWhenUsed/>
    <w:pPr>
      <w:spacing w:after="57"/>
      <w:ind w:left="1417" w:right="0" w:firstLine="0"/>
    </w:pPr>
  </w:style>
  <w:style w:type="paragraph" w:styleId="949">
    <w:name w:val="toc 7"/>
    <w:basedOn w:val="954"/>
    <w:next w:val="954"/>
    <w:uiPriority w:val="39"/>
    <w:unhideWhenUsed/>
    <w:pPr>
      <w:spacing w:after="57"/>
      <w:ind w:left="1701" w:right="0" w:firstLine="0"/>
    </w:pPr>
  </w:style>
  <w:style w:type="paragraph" w:styleId="950">
    <w:name w:val="toc 8"/>
    <w:basedOn w:val="954"/>
    <w:next w:val="954"/>
    <w:uiPriority w:val="39"/>
    <w:unhideWhenUsed/>
    <w:pPr>
      <w:spacing w:after="57"/>
      <w:ind w:left="1984" w:right="0" w:firstLine="0"/>
    </w:pPr>
  </w:style>
  <w:style w:type="paragraph" w:styleId="951">
    <w:name w:val="toc 9"/>
    <w:basedOn w:val="954"/>
    <w:next w:val="954"/>
    <w:uiPriority w:val="39"/>
    <w:unhideWhenUsed/>
    <w:pPr>
      <w:spacing w:after="57"/>
      <w:ind w:left="2268" w:right="0" w:firstLine="0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paragraph" w:styleId="958">
    <w:name w:val="Balloon Text"/>
    <w:basedOn w:val="954"/>
    <w:link w:val="9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9" w:customStyle="1">
    <w:name w:val="Текст выноски Знак"/>
    <w:basedOn w:val="955"/>
    <w:link w:val="958"/>
    <w:uiPriority w:val="99"/>
    <w:semiHidden/>
    <w:rPr>
      <w:rFonts w:ascii="Segoe UI" w:hAnsi="Segoe UI" w:cs="Segoe UI"/>
      <w:sz w:val="18"/>
      <w:szCs w:val="18"/>
    </w:rPr>
  </w:style>
  <w:style w:type="paragraph" w:styleId="960">
    <w:name w:val="Footer"/>
    <w:basedOn w:val="954"/>
    <w:link w:val="961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1" w:customStyle="1">
    <w:name w:val="Нижний колонтитул Знак"/>
    <w:basedOn w:val="955"/>
    <w:link w:val="96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2">
    <w:name w:val="page number"/>
    <w:basedOn w:val="955"/>
  </w:style>
  <w:style w:type="paragraph" w:styleId="963">
    <w:name w:val="Header"/>
    <w:basedOn w:val="954"/>
    <w:link w:val="964"/>
    <w:uiPriority w:val="99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Верхний колонтитул Знак"/>
    <w:basedOn w:val="955"/>
    <w:link w:val="9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5">
    <w:name w:val="Hyperlink"/>
    <w:uiPriority w:val="99"/>
    <w:unhideWhenUsed/>
    <w:rPr>
      <w:color w:val="0000ff"/>
      <w:u w:val="single"/>
    </w:rPr>
  </w:style>
  <w:style w:type="paragraph" w:styleId="966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968" w:customStyle="1">
    <w:name w:val="standard_text"/>
    <w:basedOn w:val="969"/>
    <w:qFormat/>
    <w:pPr>
      <w:spacing w:line="240" w:lineRule="auto"/>
      <w:ind w:left="0"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Body Text Indent"/>
    <w:basedOn w:val="954"/>
    <w:link w:val="970"/>
    <w:uiPriority w:val="99"/>
    <w:semiHidden/>
    <w:unhideWhenUsed/>
    <w:pPr>
      <w:spacing w:after="120"/>
      <w:ind w:left="283"/>
    </w:pPr>
  </w:style>
  <w:style w:type="character" w:styleId="970" w:customStyle="1">
    <w:name w:val="Основной текст с отступом Знак"/>
    <w:basedOn w:val="955"/>
    <w:link w:val="969"/>
    <w:uiPriority w:val="99"/>
    <w:semiHidden/>
  </w:style>
  <w:style w:type="character" w:styleId="971">
    <w:name w:val="annotation reference"/>
    <w:basedOn w:val="955"/>
    <w:uiPriority w:val="99"/>
    <w:semiHidden/>
    <w:unhideWhenUsed/>
    <w:rPr>
      <w:sz w:val="16"/>
      <w:szCs w:val="16"/>
    </w:rPr>
  </w:style>
  <w:style w:type="paragraph" w:styleId="972">
    <w:name w:val="annotation text"/>
    <w:basedOn w:val="954"/>
    <w:link w:val="97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3" w:customStyle="1">
    <w:name w:val="Текст примечания Знак"/>
    <w:basedOn w:val="955"/>
    <w:link w:val="972"/>
    <w:uiPriority w:val="99"/>
    <w:semiHidden/>
    <w:rPr>
      <w:sz w:val="20"/>
      <w:szCs w:val="20"/>
    </w:rPr>
  </w:style>
  <w:style w:type="paragraph" w:styleId="974">
    <w:name w:val="annotation subject"/>
    <w:basedOn w:val="972"/>
    <w:next w:val="972"/>
    <w:link w:val="975"/>
    <w:uiPriority w:val="99"/>
    <w:semiHidden/>
    <w:unhideWhenUsed/>
    <w:rPr>
      <w:b/>
      <w:bCs/>
    </w:rPr>
  </w:style>
  <w:style w:type="character" w:styleId="975" w:customStyle="1">
    <w:name w:val="Тема примечания Знак"/>
    <w:basedOn w:val="973"/>
    <w:link w:val="974"/>
    <w:uiPriority w:val="99"/>
    <w:semiHidden/>
    <w:rPr>
      <w:b/>
      <w:bCs/>
      <w:sz w:val="20"/>
      <w:szCs w:val="20"/>
    </w:rPr>
  </w:style>
  <w:style w:type="character" w:styleId="976">
    <w:name w:val="Emphasis"/>
    <w:basedOn w:val="955"/>
    <w:uiPriority w:val="20"/>
    <w:qFormat/>
    <w:rPr>
      <w:i/>
      <w:iCs/>
    </w:rPr>
  </w:style>
  <w:style w:type="paragraph" w:styleId="977">
    <w:name w:val="endnote text"/>
    <w:basedOn w:val="954"/>
    <w:link w:val="9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8" w:customStyle="1">
    <w:name w:val="Текст концевой сноски Знак"/>
    <w:basedOn w:val="955"/>
    <w:link w:val="977"/>
    <w:uiPriority w:val="99"/>
    <w:semiHidden/>
    <w:rPr>
      <w:sz w:val="20"/>
      <w:szCs w:val="20"/>
    </w:rPr>
  </w:style>
  <w:style w:type="character" w:styleId="979">
    <w:name w:val="endnote reference"/>
    <w:basedOn w:val="955"/>
    <w:uiPriority w:val="99"/>
    <w:semiHidden/>
    <w:unhideWhenUsed/>
    <w:rPr>
      <w:vertAlign w:val="superscript"/>
    </w:rPr>
  </w:style>
  <w:style w:type="table" w:styleId="980">
    <w:name w:val="Table Grid"/>
    <w:basedOn w:val="9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C680-4F73-405C-8016-CDCE580B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kyshova-ev@gorodperm.ru</dc:creator>
  <cp:keywords/>
  <dc:description/>
  <cp:lastModifiedBy>scherbakova-yua</cp:lastModifiedBy>
  <cp:revision>28</cp:revision>
  <dcterms:created xsi:type="dcterms:W3CDTF">2024-07-31T05:53:00Z</dcterms:created>
  <dcterms:modified xsi:type="dcterms:W3CDTF">2025-10-15T09:43:30Z</dcterms:modified>
</cp:coreProperties>
</file>