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10.xml" ContentType="application/vnd.openxmlformats-officedocument.drawingml.chart+xml"/>
  <Override PartName="/word/charts/chart9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harts/chart4.xml" ContentType="application/vnd.openxmlformats-officedocument.drawingml.chart+xml"/>
  <Override PartName="/word/settings.xml" ContentType="application/vnd.openxmlformats-officedocument.wordprocessingml.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</w:t>
      </w:r>
      <w:r>
        <w:rPr>
          <w:rFonts w:ascii="Times New Roman" w:hAnsi="Times New Roman"/>
          <w:b/>
          <w:sz w:val="28"/>
          <w:szCs w:val="28"/>
        </w:rPr>
        <w:t xml:space="preserve">справка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пожарной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на территории города Перми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 месяца </w:t>
      </w:r>
      <w:r>
        <w:rPr>
          <w:rFonts w:ascii="Times New Roman" w:hAnsi="Times New Roman"/>
          <w:b/>
          <w:sz w:val="28"/>
          <w:szCs w:val="28"/>
        </w:rPr>
        <w:t xml:space="preserve">202</w:t>
      </w:r>
      <w:r>
        <w:rPr>
          <w:rFonts w:ascii="Times New Roman" w:hAnsi="Times New Roman"/>
          <w:b/>
          <w:sz w:val="28"/>
          <w:szCs w:val="28"/>
        </w:rPr>
        <w:t xml:space="preserve">5 года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официального статистического учета </w:t>
      </w:r>
      <w:r>
        <w:rPr>
          <w:rFonts w:ascii="Times New Roman" w:hAnsi="Times New Roman"/>
          <w:sz w:val="28"/>
          <w:szCs w:val="28"/>
        </w:rPr>
        <w:t xml:space="preserve">1 ОНД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 по городу Перми УН</w:t>
      </w:r>
      <w:r>
        <w:rPr>
          <w:rFonts w:ascii="Times New Roman" w:hAnsi="Times New Roman"/>
          <w:sz w:val="28"/>
          <w:szCs w:val="28"/>
        </w:rPr>
        <w:t xml:space="preserve">Ди</w:t>
      </w:r>
      <w:r>
        <w:rPr>
          <w:rFonts w:ascii="Times New Roman" w:hAnsi="Times New Roman"/>
          <w:sz w:val="28"/>
          <w:szCs w:val="28"/>
        </w:rPr>
        <w:t xml:space="preserve">ПР ГУ МЧС России по Пермскому краю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 </w:t>
      </w:r>
      <w:r>
        <w:rPr>
          <w:rFonts w:ascii="Times New Roman" w:hAnsi="Times New Roman"/>
          <w:sz w:val="28"/>
          <w:szCs w:val="28"/>
        </w:rPr>
        <w:t xml:space="preserve">территории города Перми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 3 месяца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 года </w:t>
      </w:r>
      <w:r>
        <w:rPr>
          <w:rFonts w:ascii="Times New Roman" w:hAnsi="Times New Roman"/>
          <w:sz w:val="28"/>
          <w:szCs w:val="28"/>
        </w:rPr>
        <w:t xml:space="preserve">наблюда</w:t>
      </w:r>
      <w:r>
        <w:rPr>
          <w:rFonts w:ascii="Times New Roman" w:hAnsi="Times New Roman"/>
          <w:sz w:val="28"/>
          <w:szCs w:val="28"/>
        </w:rPr>
        <w:t xml:space="preserve">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регистрированных пожаров</w:t>
      </w:r>
      <w:r>
        <w:rPr>
          <w:rFonts w:ascii="Times New Roman" w:hAnsi="Times New Roman"/>
          <w:sz w:val="28"/>
          <w:szCs w:val="28"/>
        </w:rPr>
        <w:t xml:space="preserve">*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12,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 (20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223; АППГ – </w:t>
      </w:r>
      <w:r>
        <w:rPr>
          <w:rFonts w:ascii="Times New Roman" w:hAnsi="Times New Roman"/>
          <w:sz w:val="28"/>
          <w:szCs w:val="28"/>
        </w:rPr>
        <w:t xml:space="preserve">255)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1560"/>
        <w:jc w:val="center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drawing>
          <wp:inline distT="0" distB="0" distL="0" distR="0">
            <wp:extent cx="6768730" cy="4771459"/>
            <wp:effectExtent l="1587" t="1587" r="1587" b="1587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1560"/>
        <w:jc w:val="center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</w:t>
      </w:r>
      <w:r>
        <w:rPr>
          <w:rFonts w:ascii="Times New Roman" w:hAnsi="Times New Roman"/>
          <w:sz w:val="24"/>
          <w:szCs w:val="24"/>
        </w:rPr>
        <w:t xml:space="preserve">Пожар - неконтролируемое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горение, причиняющее материальный ущерб, вред жизни и здоровью личному составу, населению, интересам общества и государства</w:t>
      </w:r>
      <w:r>
        <w:rPr>
          <w:rFonts w:ascii="Times New Roman" w:hAnsi="Times New Roman"/>
          <w:sz w:val="24"/>
          <w:szCs w:val="24"/>
        </w:rPr>
        <w:t xml:space="preserve"> (нарастающий итог с начала года)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район</w:t>
      </w:r>
      <w:r>
        <w:rPr>
          <w:rFonts w:ascii="Times New Roman" w:hAnsi="Times New Roman"/>
          <w:sz w:val="28"/>
          <w:szCs w:val="28"/>
        </w:rPr>
        <w:t xml:space="preserve">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Перми </w:t>
      </w:r>
      <w:r>
        <w:rPr>
          <w:rFonts w:ascii="Times New Roman" w:hAnsi="Times New Roman"/>
          <w:sz w:val="28"/>
          <w:szCs w:val="28"/>
        </w:rPr>
        <w:t xml:space="preserve">произо</w:t>
      </w:r>
      <w:r>
        <w:rPr>
          <w:rFonts w:ascii="Times New Roman" w:hAnsi="Times New Roman"/>
          <w:sz w:val="28"/>
          <w:szCs w:val="28"/>
        </w:rPr>
        <w:t xml:space="preserve">шл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r>
        <w:rPr>
          <w:rFonts w:ascii="Times New Roman" w:hAnsi="Times New Roman"/>
          <w:sz w:val="28"/>
          <w:szCs w:val="28"/>
        </w:rPr>
        <w:t xml:space="preserve">количества пожаров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14,6</w:t>
      </w:r>
      <w:r>
        <w:rPr>
          <w:rFonts w:ascii="Times New Roman" w:hAnsi="Times New Roman"/>
          <w:sz w:val="28"/>
          <w:szCs w:val="28"/>
        </w:rPr>
        <w:t xml:space="preserve">% в Индустриальном, </w:t>
      </w:r>
      <w:r>
        <w:rPr>
          <w:rFonts w:ascii="Times New Roman" w:hAnsi="Times New Roman"/>
          <w:sz w:val="28"/>
          <w:szCs w:val="28"/>
        </w:rPr>
        <w:t xml:space="preserve">на 19,4% </w:t>
      </w:r>
      <w:r>
        <w:rPr>
          <w:rFonts w:ascii="Times New Roman" w:hAnsi="Times New Roman"/>
          <w:sz w:val="28"/>
          <w:szCs w:val="28"/>
        </w:rPr>
        <w:t xml:space="preserve">в Свердловском районе (пос. Новые Ляды)</w:t>
      </w:r>
      <w:r>
        <w:rPr>
          <w:rFonts w:ascii="Times New Roman" w:hAnsi="Times New Roman"/>
          <w:sz w:val="28"/>
          <w:szCs w:val="28"/>
        </w:rPr>
        <w:t xml:space="preserve">, на 19,7% в </w:t>
      </w:r>
      <w:r>
        <w:rPr>
          <w:rFonts w:ascii="Times New Roman" w:hAnsi="Times New Roman"/>
          <w:sz w:val="28"/>
          <w:szCs w:val="28"/>
        </w:rPr>
        <w:t xml:space="preserve">Мотовилихинском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27,6%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Орджоникидзевском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пожаров произошел в следующих районах города Перми: </w:t>
      </w:r>
      <w:r>
        <w:rPr>
          <w:rFonts w:ascii="Times New Roman" w:hAnsi="Times New Roman"/>
          <w:sz w:val="28"/>
          <w:szCs w:val="28"/>
        </w:rPr>
        <w:t xml:space="preserve">на 3,7% в Кировском, </w:t>
      </w:r>
      <w:r>
        <w:rPr>
          <w:rFonts w:ascii="Times New Roman" w:hAnsi="Times New Roman"/>
          <w:sz w:val="28"/>
          <w:szCs w:val="28"/>
        </w:rPr>
        <w:t xml:space="preserve">на 4% </w:t>
      </w:r>
      <w:r>
        <w:rPr>
          <w:rFonts w:ascii="Times New Roman" w:hAnsi="Times New Roman"/>
          <w:sz w:val="28"/>
          <w:szCs w:val="28"/>
        </w:rPr>
        <w:t xml:space="preserve">в Дзержинском и на 40% </w:t>
      </w:r>
      <w:r>
        <w:rPr>
          <w:rFonts w:ascii="Times New Roman" w:hAnsi="Times New Roman"/>
          <w:sz w:val="28"/>
          <w:szCs w:val="28"/>
        </w:rPr>
        <w:t xml:space="preserve">в Ленинском.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1367"/>
        <w:jc w:val="both"/>
        <w:spacing w:after="0" w:line="20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firstLine="1367"/>
        <w:jc w:val="center"/>
        <w:spacing w:after="0" w:line="204" w:lineRule="auto"/>
        <w:rPr>
          <w:rFonts w:ascii="Times New Roman" w:hAnsi="Times New Roman"/>
          <w:sz w:val="24"/>
          <w:szCs w:val="24"/>
        </w:rPr>
      </w:pPr>
      <w:r>
        <w:rPr>
          <w:szCs w:val="24"/>
          <w:lang w:eastAsia="ru-RU"/>
        </w:rPr>
      </w:r>
      <w:r/>
      <w:r>
        <w:drawing>
          <wp:inline distT="0" distB="0" distL="0" distR="0">
            <wp:extent cx="6927118" cy="3486864"/>
            <wp:effectExtent l="1587" t="1587" r="1587" b="1587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firstLine="1367"/>
        <w:jc w:val="both"/>
        <w:spacing w:after="0" w:line="20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firstLine="1367"/>
        <w:jc w:val="both"/>
        <w:spacing w:after="0" w:line="20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firstLine="1367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1367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ситуацию с</w:t>
      </w:r>
      <w:r>
        <w:rPr>
          <w:rFonts w:ascii="Times New Roman" w:hAnsi="Times New Roman"/>
          <w:sz w:val="28"/>
          <w:szCs w:val="28"/>
        </w:rPr>
        <w:t xml:space="preserve">ледует отметить, что </w:t>
      </w:r>
      <w:r>
        <w:rPr>
          <w:rFonts w:ascii="Times New Roman" w:hAnsi="Times New Roman"/>
          <w:sz w:val="28"/>
          <w:szCs w:val="28"/>
        </w:rPr>
        <w:t xml:space="preserve">реальная статистика отражается при оценке количества пожаров на 10 тысяч населения. За </w:t>
      </w:r>
      <w:r>
        <w:rPr>
          <w:rFonts w:ascii="Times New Roman" w:hAnsi="Times New Roman"/>
          <w:sz w:val="28"/>
          <w:szCs w:val="28"/>
        </w:rPr>
        <w:t xml:space="preserve">3 месяца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года количество пожаров</w:t>
      </w:r>
      <w:r>
        <w:rPr>
          <w:rFonts w:ascii="Times New Roman" w:hAnsi="Times New Roman"/>
          <w:sz w:val="28"/>
          <w:szCs w:val="28"/>
        </w:rPr>
        <w:t xml:space="preserve"> на 10 тысяч населения составило </w:t>
      </w:r>
      <w:r>
        <w:rPr>
          <w:rFonts w:ascii="Times New Roman" w:hAnsi="Times New Roman"/>
          <w:sz w:val="28"/>
          <w:szCs w:val="28"/>
        </w:rPr>
        <w:t xml:space="preserve">2,</w:t>
      </w: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. При этом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нижен данный показатель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3-</w:t>
      </w:r>
      <w:r>
        <w:rPr>
          <w:rFonts w:ascii="Times New Roman" w:hAnsi="Times New Roman"/>
          <w:sz w:val="28"/>
          <w:szCs w:val="28"/>
        </w:rPr>
        <w:t xml:space="preserve">х р</w:t>
      </w:r>
      <w:r>
        <w:rPr>
          <w:rFonts w:ascii="Times New Roman" w:hAnsi="Times New Roman"/>
          <w:sz w:val="28"/>
          <w:szCs w:val="28"/>
        </w:rPr>
        <w:t xml:space="preserve">айонах города Перми, </w:t>
      </w:r>
      <w:r>
        <w:rPr>
          <w:rFonts w:ascii="Times New Roman" w:hAnsi="Times New Roman"/>
          <w:sz w:val="28"/>
          <w:szCs w:val="28"/>
        </w:rPr>
        <w:t xml:space="preserve">таких </w:t>
      </w:r>
      <w:r>
        <w:rPr>
          <w:rFonts w:ascii="Times New Roman" w:hAnsi="Times New Roman"/>
          <w:sz w:val="28"/>
          <w:szCs w:val="28"/>
        </w:rPr>
        <w:t xml:space="preserve">как: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Дзержинском на </w:t>
      </w:r>
      <w:r>
        <w:rPr>
          <w:rFonts w:ascii="Times New Roman" w:hAnsi="Times New Roman"/>
          <w:sz w:val="28"/>
          <w:szCs w:val="28"/>
        </w:rPr>
        <w:t xml:space="preserve">26,8%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Орджоникидзевском на </w:t>
      </w:r>
      <w:r>
        <w:rPr>
          <w:rFonts w:ascii="Times New Roman" w:hAnsi="Times New Roman"/>
          <w:sz w:val="28"/>
          <w:szCs w:val="28"/>
        </w:rPr>
        <w:t xml:space="preserve">15 %</w:t>
      </w:r>
      <w:r>
        <w:rPr>
          <w:rFonts w:ascii="Times New Roman" w:hAnsi="Times New Roman"/>
          <w:sz w:val="28"/>
          <w:szCs w:val="28"/>
        </w:rPr>
        <w:t xml:space="preserve"> и И</w:t>
      </w:r>
      <w:r>
        <w:rPr>
          <w:rFonts w:ascii="Times New Roman" w:hAnsi="Times New Roman"/>
          <w:sz w:val="28"/>
          <w:szCs w:val="28"/>
        </w:rPr>
        <w:t xml:space="preserve">ндустриальном на</w:t>
      </w:r>
      <w:r>
        <w:rPr>
          <w:rFonts w:ascii="Times New Roman" w:hAnsi="Times New Roman"/>
          <w:sz w:val="28"/>
          <w:szCs w:val="28"/>
        </w:rPr>
        <w:t xml:space="preserve"> 3,3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40" w:lineRule="auto"/>
        <w:rPr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Превышен данный показатель в </w:t>
      </w:r>
      <w:r>
        <w:rPr>
          <w:rFonts w:ascii="Times New Roman" w:hAnsi="Times New Roman"/>
          <w:sz w:val="28"/>
          <w:szCs w:val="28"/>
        </w:rPr>
        <w:t xml:space="preserve">5-ти </w:t>
      </w:r>
      <w:r>
        <w:rPr>
          <w:rFonts w:ascii="Times New Roman" w:hAnsi="Times New Roman"/>
          <w:sz w:val="28"/>
          <w:szCs w:val="28"/>
        </w:rPr>
        <w:t xml:space="preserve">районах города Перми:</w:t>
      </w:r>
      <w:r>
        <w:rPr>
          <w:rFonts w:ascii="Times New Roman" w:hAnsi="Times New Roman"/>
          <w:sz w:val="28"/>
          <w:szCs w:val="28"/>
        </w:rPr>
        <w:t xml:space="preserve"> на 20,2% в Ленинском,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18,8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Мотовилихинском,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Свердловском (пос. Новые Ляды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и на </w:t>
      </w:r>
      <w:r>
        <w:rPr>
          <w:rFonts w:ascii="Times New Roman" w:hAnsi="Times New Roman"/>
          <w:sz w:val="28"/>
          <w:szCs w:val="28"/>
        </w:rPr>
        <w:t xml:space="preserve">0,5%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Кировском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Cs w:val="24"/>
        </w:rPr>
      </w:r>
      <w:r>
        <w:rPr>
          <w:szCs w:val="24"/>
        </w:rPr>
      </w:r>
    </w:p>
    <w:p>
      <w:pPr>
        <w:pStyle w:val="888"/>
        <w:ind w:firstLine="709"/>
        <w:jc w:val="center"/>
        <w:spacing w:after="0"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88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drawing>
          <wp:inline distT="0" distB="0" distL="0" distR="0">
            <wp:extent cx="6652792" cy="3805255"/>
            <wp:effectExtent l="1587" t="1587" r="1587" b="1587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по числу погибших на пожарах </w:t>
      </w:r>
      <w:r>
        <w:rPr>
          <w:rFonts w:ascii="Times New Roman" w:hAnsi="Times New Roman"/>
          <w:sz w:val="28"/>
          <w:szCs w:val="28"/>
        </w:rPr>
        <w:t xml:space="preserve">снижен на 35</w:t>
      </w:r>
      <w:r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(202</w:t>
      </w:r>
      <w:r>
        <w:rPr>
          <w:rFonts w:ascii="Times New Roman" w:hAnsi="Times New Roman"/>
          <w:sz w:val="28"/>
          <w:szCs w:val="28"/>
        </w:rPr>
        <w:t xml:space="preserve">5 – </w:t>
      </w:r>
      <w:r>
        <w:rPr>
          <w:rFonts w:ascii="Times New Roman" w:hAnsi="Times New Roman"/>
          <w:sz w:val="28"/>
          <w:szCs w:val="28"/>
        </w:rPr>
        <w:t xml:space="preserve">13; АППГ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2-х районах </w:t>
      </w:r>
      <w:r>
        <w:rPr>
          <w:rFonts w:ascii="Times New Roman" w:hAnsi="Times New Roman"/>
          <w:sz w:val="28"/>
          <w:szCs w:val="28"/>
        </w:rPr>
        <w:t xml:space="preserve">города Перми произошло снижение погибших на пожарах: в 3 раза в Индустриальном и в 10 раз в Мотовилихинском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погибших на пожарах произошел</w:t>
      </w:r>
      <w:r>
        <w:rPr>
          <w:rFonts w:ascii="Times New Roman" w:hAnsi="Times New Roman"/>
          <w:sz w:val="28"/>
          <w:szCs w:val="28"/>
        </w:rPr>
        <w:t xml:space="preserve"> в следующих районах города Перми:</w:t>
      </w:r>
      <w:r>
        <w:rPr>
          <w:rFonts w:ascii="Times New Roman" w:hAnsi="Times New Roman"/>
          <w:sz w:val="28"/>
          <w:szCs w:val="28"/>
        </w:rPr>
        <w:t xml:space="preserve"> в 3 раза в Ленинском,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100%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вердловском район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(пос. Новые Ляды) и на 66% в Кировском.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2-х районах города Перми нет погибших на пожарах (Индустриальном и Мотовилихинском).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причинами с гибелью людей явились: нарушение правил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устройства и эксплуатации (далее – НПУ и Э) НПУ и Э электрооборудования (7 погибших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53,9%) и неосторожное обращение с огнем (6 погибших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46,1%).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3 месяца 2025 года на территории города Перми зарегистрирована гибель 2 детей на пожарах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/>
      <w:r>
        <w:rPr>
          <w:rFonts w:ascii="Times New Roman" w:hAnsi="Times New Roman"/>
          <w:sz w:val="28"/>
          <w:szCs w:val="28"/>
        </w:rPr>
        <w:t xml:space="preserve"> в Ленинском районе.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8"/>
        <w:ind w:firstLine="709"/>
        <w:jc w:val="center"/>
        <w:spacing w:after="0" w:line="20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88"/>
        <w:ind w:firstLine="709"/>
        <w:jc w:val="center"/>
        <w:spacing w:after="0" w:line="20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88"/>
        <w:ind w:firstLine="709"/>
        <w:jc w:val="center"/>
        <w:spacing w:after="0" w:line="20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drawing>
          <wp:inline distT="0" distB="0" distL="0" distR="0">
            <wp:extent cx="7194567" cy="4190472"/>
            <wp:effectExtent l="1587" t="1587" r="1587" b="1587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88"/>
        <w:ind w:firstLine="709"/>
        <w:jc w:val="center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Если проводить анализ по количеству по</w:t>
      </w:r>
      <w:r>
        <w:rPr>
          <w:rFonts w:ascii="Times New Roman" w:hAnsi="Times New Roman"/>
          <w:sz w:val="28"/>
          <w:szCs w:val="28"/>
        </w:rPr>
        <w:t xml:space="preserve">гибших на 10000 населения, то можно сделать вывод, что данный показатель превышает среднегородской в следующих районах города Перми: на 0,5% в Кировском, на 7,5% в Свердловском районе (поселок Новые Ляды), на 18,8% в Мотовилихинском и на 20,2% в Ленинском.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Снижен данный показатель в 3-х районах города Перми: на 26,8% в Дзержинском, на 15% в Орджоникидзевском и на 3,3% в Индустриальном.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 территории города Перми </w:t>
      </w:r>
      <w:r>
        <w:rPr>
          <w:rFonts w:ascii="Times New Roman" w:hAnsi="Times New Roman"/>
          <w:sz w:val="28"/>
          <w:szCs w:val="28"/>
          <w:highlight w:val="white"/>
        </w:rPr>
        <w:t xml:space="preserve">показатель по травмир</w:t>
      </w: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ванным</w:t>
      </w:r>
      <w:r>
        <w:rPr>
          <w:rFonts w:ascii="Times New Roman" w:hAnsi="Times New Roman"/>
          <w:sz w:val="28"/>
          <w:szCs w:val="28"/>
        </w:rPr>
        <w:t xml:space="preserve"> на пожарах </w:t>
      </w:r>
      <w:r>
        <w:rPr>
          <w:rFonts w:ascii="Times New Roman" w:hAnsi="Times New Roman"/>
          <w:sz w:val="28"/>
          <w:szCs w:val="28"/>
        </w:rPr>
        <w:t xml:space="preserve">превышен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46,2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19; АППГ – </w:t>
      </w:r>
      <w:r>
        <w:rPr>
          <w:rFonts w:ascii="Times New Roman" w:hAnsi="Times New Roman"/>
          <w:sz w:val="28"/>
          <w:szCs w:val="28"/>
        </w:rPr>
        <w:t xml:space="preserve">13).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center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szCs w:val="28"/>
          <w:lang w:eastAsia="ru-RU"/>
        </w:rPr>
      </w:r>
      <w:r>
        <w:drawing>
          <wp:inline distT="0" distB="0" distL="0" distR="0">
            <wp:extent cx="6849367" cy="4574204"/>
            <wp:effectExtent l="1587" t="1587" r="1587" b="1587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szCs w:val="28"/>
          <w:lang w:eastAsia="ru-RU"/>
        </w:rPr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</w:t>
      </w:r>
      <w:r>
        <w:rPr>
          <w:rFonts w:ascii="Times New Roman" w:hAnsi="Times New Roman"/>
          <w:sz w:val="28"/>
          <w:szCs w:val="28"/>
        </w:rPr>
        <w:t xml:space="preserve">ольшее количество травмированных </w:t>
      </w:r>
      <w:r>
        <w:rPr>
          <w:rFonts w:ascii="Times New Roman" w:hAnsi="Times New Roman"/>
          <w:sz w:val="28"/>
          <w:szCs w:val="28"/>
        </w:rPr>
        <w:t xml:space="preserve">на пожарах </w:t>
      </w:r>
      <w:r>
        <w:rPr>
          <w:rFonts w:ascii="Times New Roman" w:hAnsi="Times New Roman"/>
          <w:sz w:val="28"/>
          <w:szCs w:val="28"/>
        </w:rPr>
        <w:t xml:space="preserve">наблюдается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районах города Перми: Кировском и Свердловском районе (поселок Новые Ляды)</w:t>
      </w:r>
      <w:r>
        <w:rPr>
          <w:rFonts w:ascii="Times New Roman" w:hAnsi="Times New Roman"/>
          <w:sz w:val="28"/>
          <w:szCs w:val="28"/>
        </w:rPr>
        <w:t xml:space="preserve"> по 5 человек соответственно, в Орджоникидзевском </w:t>
      </w:r>
      <w:r>
        <w:rPr>
          <w:rFonts w:ascii="Times New Roman" w:hAnsi="Times New Roman"/>
          <w:sz w:val="28"/>
          <w:szCs w:val="28"/>
        </w:rPr>
        <w:t xml:space="preserve">3 человека</w:t>
      </w:r>
      <w:r>
        <w:rPr>
          <w:rFonts w:ascii="Times New Roman" w:hAnsi="Times New Roman"/>
          <w:sz w:val="28"/>
          <w:szCs w:val="28"/>
        </w:rPr>
        <w:t xml:space="preserve"> и в </w:t>
      </w:r>
      <w:r>
        <w:rPr>
          <w:rFonts w:ascii="Times New Roman" w:hAnsi="Times New Roman"/>
          <w:sz w:val="28"/>
          <w:szCs w:val="28"/>
        </w:rPr>
        <w:t xml:space="preserve">Индустриальном</w:t>
      </w:r>
      <w:r>
        <w:rPr>
          <w:rFonts w:ascii="Times New Roman" w:hAnsi="Times New Roman"/>
          <w:sz w:val="28"/>
          <w:szCs w:val="28"/>
        </w:rPr>
        <w:t xml:space="preserve"> и Ленинском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2 человека </w:t>
      </w:r>
      <w:r>
        <w:rPr>
          <w:rFonts w:ascii="Times New Roman" w:hAnsi="Times New Roman"/>
          <w:sz w:val="28"/>
          <w:szCs w:val="28"/>
        </w:rPr>
        <w:t xml:space="preserve">соответственно.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 данный показатель в</w:t>
      </w:r>
      <w:r>
        <w:rPr>
          <w:rFonts w:ascii="Times New Roman" w:hAnsi="Times New Roman"/>
          <w:sz w:val="28"/>
          <w:szCs w:val="28"/>
        </w:rPr>
        <w:t xml:space="preserve"> 3-х районах города Перми: на 33,3% в Индустриальном, на 50% в Дзержинском и на 66,6% в </w:t>
      </w:r>
      <w:r>
        <w:rPr>
          <w:rFonts w:ascii="Times New Roman" w:hAnsi="Times New Roman"/>
          <w:sz w:val="28"/>
          <w:szCs w:val="28"/>
        </w:rPr>
        <w:t xml:space="preserve">Мотовилихинском.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травмированных людей </w:t>
      </w:r>
      <w:r>
        <w:rPr>
          <w:rFonts w:ascii="Times New Roman" w:hAnsi="Times New Roman"/>
          <w:sz w:val="28"/>
          <w:szCs w:val="28"/>
        </w:rPr>
        <w:t xml:space="preserve">на пожарах в сравнении со среднестатистическими</w:t>
      </w:r>
      <w:r>
        <w:rPr>
          <w:rFonts w:ascii="Times New Roman" w:hAnsi="Times New Roman"/>
          <w:sz w:val="28"/>
          <w:szCs w:val="28"/>
        </w:rPr>
        <w:t xml:space="preserve"> данными по городу Перми </w:t>
      </w:r>
      <w:r>
        <w:rPr>
          <w:rFonts w:ascii="Times New Roman" w:hAnsi="Times New Roman"/>
          <w:sz w:val="28"/>
          <w:szCs w:val="28"/>
        </w:rPr>
        <w:t xml:space="preserve">допущен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следующих районах: </w:t>
      </w:r>
      <w:r>
        <w:rPr>
          <w:rFonts w:ascii="Times New Roman" w:hAnsi="Times New Roman"/>
          <w:sz w:val="28"/>
          <w:szCs w:val="28"/>
        </w:rPr>
        <w:t xml:space="preserve">в 2 раза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Ленинском, на 150% в Свердловском районе (поселке Новые Ляды, на 400% в Кировском и на 50% в Дзержинском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center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drawing>
          <wp:inline distT="0" distB="0" distL="0" distR="0">
            <wp:extent cx="6905625" cy="3826399"/>
            <wp:effectExtent l="1587" t="1587" r="1587" b="1587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проводить анализ по количеству погибших на 10000 населения, то можно сделать вывод, что данный показатель превышает среднегородской </w:t>
      </w:r>
      <w:r>
        <w:rPr>
          <w:rFonts w:ascii="Times New Roman" w:hAnsi="Times New Roman"/>
          <w:sz w:val="28"/>
          <w:szCs w:val="28"/>
        </w:rPr>
        <w:t xml:space="preserve">в 5-ти районах города Перми: </w:t>
      </w:r>
      <w:r>
        <w:rPr>
          <w:rFonts w:ascii="Times New Roman" w:hAnsi="Times New Roman"/>
          <w:sz w:val="28"/>
          <w:szCs w:val="28"/>
        </w:rPr>
        <w:t xml:space="preserve">на 27,8% в Свердловском районе (пос. Новые Ляды), </w:t>
      </w:r>
      <w:r>
        <w:rPr>
          <w:rFonts w:ascii="Times New Roman" w:hAnsi="Times New Roman"/>
          <w:sz w:val="28"/>
          <w:szCs w:val="28"/>
        </w:rPr>
        <w:t xml:space="preserve">на 44,4% в Орджоникидзевском районе (поселок Новые Ляды)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100% в Ленинском и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111% в Кировском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 данный показатель в следующих районах города Перми: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72,2% в Мотовилихинском,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66,6% в Дзержинском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 </w:t>
      </w:r>
      <w:r>
        <w:rPr>
          <w:rFonts w:ascii="Times New Roman" w:hAnsi="Times New Roman"/>
          <w:sz w:val="28"/>
          <w:szCs w:val="28"/>
        </w:rPr>
        <w:t xml:space="preserve">на 33,3% в Индустриальном.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анализируемый</w:t>
      </w:r>
      <w:r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основными объектами возникновения пожаров по г</w:t>
      </w:r>
      <w:r>
        <w:rPr>
          <w:rFonts w:ascii="Times New Roman" w:hAnsi="Times New Roman"/>
          <w:sz w:val="28"/>
          <w:szCs w:val="28"/>
        </w:rPr>
        <w:t xml:space="preserve">ороду </w:t>
      </w:r>
      <w:r>
        <w:rPr>
          <w:rFonts w:ascii="Times New Roman" w:hAnsi="Times New Roman"/>
          <w:sz w:val="28"/>
          <w:szCs w:val="28"/>
        </w:rPr>
        <w:t xml:space="preserve">Перми явились: </w:t>
      </w:r>
      <w:r>
        <w:rPr>
          <w:rFonts w:ascii="Times New Roman" w:hAnsi="Times New Roman"/>
          <w:sz w:val="28"/>
          <w:szCs w:val="28"/>
        </w:rPr>
        <w:t xml:space="preserve">жило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сектор – </w:t>
      </w:r>
      <w:r>
        <w:rPr>
          <w:rFonts w:ascii="Times New Roman" w:hAnsi="Times New Roman"/>
          <w:sz w:val="28"/>
          <w:szCs w:val="28"/>
        </w:rPr>
        <w:t xml:space="preserve">35</w:t>
      </w:r>
      <w:r>
        <w:rPr>
          <w:rFonts w:ascii="Times New Roman" w:hAnsi="Times New Roman"/>
          <w:sz w:val="28"/>
          <w:szCs w:val="28"/>
        </w:rPr>
        <w:t xml:space="preserve"> пожар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(АППГ – </w:t>
      </w:r>
      <w:r>
        <w:rPr>
          <w:rFonts w:ascii="Times New Roman" w:hAnsi="Times New Roman"/>
          <w:sz w:val="28"/>
          <w:szCs w:val="28"/>
        </w:rPr>
        <w:t xml:space="preserve">60</w:t>
      </w:r>
      <w:r>
        <w:rPr>
          <w:rFonts w:ascii="Times New Roman" w:hAnsi="Times New Roman"/>
          <w:sz w:val="28"/>
          <w:szCs w:val="28"/>
        </w:rPr>
        <w:t xml:space="preserve">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41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Снижение </w:t>
      </w:r>
      <w:r>
        <w:rPr>
          <w:rFonts w:ascii="Times New Roman" w:hAnsi="Times New Roman"/>
          <w:sz w:val="28"/>
          <w:szCs w:val="28"/>
        </w:rPr>
        <w:t xml:space="preserve">пожаров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наблюдается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неэксплуатируемы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здания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62,5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пожаров (АППГ –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пожаров наблюдается по следующим объектам: </w:t>
      </w:r>
      <w:r>
        <w:rPr>
          <w:rFonts w:ascii="Times New Roman" w:hAnsi="Times New Roman"/>
          <w:sz w:val="28"/>
          <w:szCs w:val="28"/>
        </w:rPr>
        <w:t xml:space="preserve">на 40%</w:t>
      </w:r>
      <w:r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транспортные средства – 7 пожаров (АППГ – 5), </w:t>
      </w:r>
      <w:r>
        <w:rPr>
          <w:rFonts w:ascii="Times New Roman" w:hAnsi="Times New Roman"/>
          <w:sz w:val="28"/>
          <w:szCs w:val="28"/>
        </w:rPr>
        <w:t xml:space="preserve">на 66,7</w:t>
      </w:r>
      <w:r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помещения производственного назначения – 5 пожара (АППГ - 3),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233% </w:t>
      </w:r>
      <w:r>
        <w:rPr>
          <w:rFonts w:ascii="Times New Roman" w:hAnsi="Times New Roman"/>
          <w:sz w:val="28"/>
          <w:szCs w:val="28"/>
        </w:rPr>
        <w:t xml:space="preserve">места открытого хранения –10 пожара (АППГ – 3).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  <w:r/>
      <w:r>
        <w:drawing>
          <wp:inline distT="0" distB="0" distL="0" distR="0">
            <wp:extent cx="4514872" cy="3708282"/>
            <wp:effectExtent l="4762" t="4762" r="4762" b="4762"/>
            <wp:docPr id="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t xml:space="preserve">   </w:t>
      </w:r>
      <w:r/>
      <w:r>
        <w:drawing>
          <wp:inline distT="0" distB="0" distL="0" distR="0">
            <wp:extent cx="4886831" cy="3708282"/>
            <wp:effectExtent l="4762" t="4762" r="4762" b="4762"/>
            <wp:docPr id="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/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сравнении</w:t>
      </w:r>
      <w:r>
        <w:rPr>
          <w:rFonts w:ascii="Times New Roman" w:hAnsi="Times New Roman"/>
          <w:sz w:val="28"/>
          <w:szCs w:val="28"/>
        </w:rPr>
        <w:t xml:space="preserve"> с аналогичным периодом прошлого года зарегистрировано снижение количества пожаров по </w:t>
      </w:r>
      <w:r>
        <w:rPr>
          <w:rFonts w:ascii="Times New Roman" w:hAnsi="Times New Roman"/>
          <w:sz w:val="28"/>
          <w:szCs w:val="28"/>
        </w:rPr>
        <w:t xml:space="preserve">следующим</w:t>
      </w:r>
      <w:r>
        <w:rPr>
          <w:rFonts w:ascii="Times New Roman" w:hAnsi="Times New Roman"/>
          <w:sz w:val="28"/>
          <w:szCs w:val="28"/>
        </w:rPr>
        <w:t xml:space="preserve"> причинам: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46,7%</w:t>
      </w:r>
      <w:r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НПУ и Э печей и дымоходов – 16 (АППГ – 30),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на 15,2%</w:t>
      </w:r>
      <w:r>
        <w:rPr>
          <w:rFonts w:ascii="Times New Roman" w:hAnsi="Times New Roman"/>
          <w:sz w:val="28"/>
          <w:szCs w:val="28"/>
        </w:rPr>
        <w:t xml:space="preserve"> НПУ и Э электрооборудования – 67 (АППГ – 79) и </w:t>
      </w:r>
      <w:r>
        <w:rPr>
          <w:rFonts w:ascii="Times New Roman" w:hAnsi="Times New Roman"/>
          <w:sz w:val="28"/>
          <w:szCs w:val="28"/>
        </w:rPr>
        <w:t xml:space="preserve">на 17,9%</w:t>
      </w:r>
      <w:r>
        <w:rPr>
          <w:rFonts w:ascii="Times New Roman" w:hAnsi="Times New Roman"/>
          <w:sz w:val="28"/>
          <w:szCs w:val="28"/>
        </w:rPr>
        <w:t xml:space="preserve"> поджог – 23 (АППГ – 28).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Зарегистрирован рост показателя по </w:t>
      </w:r>
      <w:r>
        <w:rPr>
          <w:rFonts w:ascii="Times New Roman" w:hAnsi="Times New Roman"/>
          <w:sz w:val="28"/>
          <w:szCs w:val="28"/>
        </w:rPr>
        <w:t xml:space="preserve">неосторожному обращению с огнем на 4,2% – </w:t>
      </w:r>
      <w:r>
        <w:rPr>
          <w:rFonts w:ascii="Times New Roman" w:hAnsi="Times New Roman"/>
          <w:sz w:val="28"/>
          <w:szCs w:val="28"/>
        </w:rPr>
        <w:t xml:space="preserve">99 (АППГ – </w:t>
      </w:r>
      <w:r>
        <w:rPr>
          <w:rFonts w:ascii="Times New Roman" w:hAnsi="Times New Roman"/>
          <w:sz w:val="28"/>
          <w:szCs w:val="28"/>
        </w:rPr>
        <w:t xml:space="preserve">95). </w:t>
      </w:r>
      <w:r>
        <w:rPr>
          <w:rFonts w:ascii="Times New Roman" w:hAnsi="Times New Roman"/>
          <w:sz w:val="28"/>
          <w:szCs w:val="28"/>
        </w:rPr>
      </w:r>
      <w:r/>
      <w:r>
        <w:rPr>
          <w:highlight w:val="none"/>
        </w:rPr>
      </w:r>
      <w:r>
        <w:rPr>
          <w:highlight w:val="none"/>
        </w:rPr>
      </w:r>
      <w:r/>
    </w:p>
    <w:p>
      <w:pPr>
        <w:ind w:firstLine="0"/>
        <w:jc w:val="both"/>
        <w:spacing w:after="0" w:line="204" w:lineRule="auto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04" w:lineRule="auto"/>
        <w:rPr>
          <w:highlight w:val="none"/>
        </w:rPr>
      </w:pPr>
      <w:r/>
      <w:r/>
      <w:r/>
      <w:r/>
      <w:r/>
      <w:r/>
      <w:r/>
      <w:r>
        <w:rPr>
          <w:rFonts w:ascii="Times New Roman" w:hAnsi="Times New Roman"/>
          <w:sz w:val="28"/>
          <w:szCs w:val="28"/>
        </w:rPr>
      </w:r>
      <w:r>
        <w:drawing>
          <wp:inline distT="0" distB="0" distL="0" distR="0">
            <wp:extent cx="4689497" cy="3800111"/>
            <wp:effectExtent l="1587" t="1587" r="1587" b="1587"/>
            <wp:docPr id="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/>
      <w:r/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  <w:r/>
      <w:r/>
      <w:r/>
      <w:r>
        <w:drawing>
          <wp:inline distT="0" distB="0" distL="0" distR="0">
            <wp:extent cx="4701562" cy="3800111"/>
            <wp:effectExtent l="1587" t="1587" r="1587" b="1587"/>
            <wp:docPr id="10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/>
      <w:r/>
      <w:r/>
      <w:r>
        <w:rPr>
          <w:rFonts w:ascii="Times New Roman" w:hAnsi="Times New Roman"/>
          <w:sz w:val="28"/>
          <w:szCs w:val="28"/>
        </w:rPr>
      </w:r>
      <w:r/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both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center"/>
        <w:spacing w:after="0" w:line="204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INCLUDEPICTURE "https://image.zn.ua/media/images/original/Jun2017/177221.jpg" \* MERGEFORMATINET </w:instrText>
      </w:r>
      <w:r>
        <w:fldChar w:fldCharType="separate"/>
      </w:r>
      <w:r>
        <w:fldChar w:fldCharType="end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center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center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center"/>
        <w:spacing w:after="0" w:line="204" w:lineRule="auto"/>
      </w:pPr>
      <w:r>
        <w:t xml:space="preserve"> </w:t>
      </w:r>
      <w:r>
        <w:fldChar w:fldCharType="begin"/>
      </w:r>
      <w:r>
        <w:instrText xml:space="preserve"> INCLUDEPICTURE "https://vr-vyksa.ru/media/images/93d72af4d9af355ca9d80fd3ee26a727.width-1200.jpg" \* MERGEFORMATINET </w:instrText>
      </w:r>
      <w:r>
        <w:fldChar w:fldCharType="separate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400093" cy="3091586"/>
                <wp:effectExtent l="0" t="0" r="0" b="0"/>
                <wp:docPr id="11" name="_x0000_i10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400093" cy="3091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6.46pt;height:243.43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r>
        <w:fldChar w:fldCharType="end"/>
      </w:r>
      <w:r/>
    </w:p>
    <w:p>
      <w:pPr>
        <w:pStyle w:val="888"/>
        <w:ind w:firstLine="709"/>
        <w:jc w:val="center"/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9"/>
        <w:jc w:val="center"/>
        <w:spacing w:after="0" w:line="204" w:lineRule="auto"/>
      </w:pPr>
      <w:r>
        <w:fldChar w:fldCharType="begin"/>
      </w:r>
      <w:r>
        <w:instrText xml:space="preserve"> INCLUDEPICTURE "https://sakh.online/uploaded/9c/d3/38/c3dcea3ed99795d8c3dd1aaf60.jpg" \* MERGEFORMATINET </w:instrText>
      </w:r>
      <w:r>
        <w:fldChar w:fldCharType="separate"/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"https://krznews.ru/wp-content/uploads/2021/10/original.jpg" \* MERGEFORMATINET </w:instrText>
      </w:r>
      <w:r>
        <w:fldChar w:fldCharType="separate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405579" cy="2820010"/>
                <wp:effectExtent l="0" t="0" r="0" b="0"/>
                <wp:docPr id="12" name="_x0000_i108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405579" cy="282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46.90pt;height:222.05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  <w:r>
        <w:fldChar w:fldCharType="end"/>
      </w:r>
      <w:r/>
    </w:p>
    <w:sectPr>
      <w:headerReference w:type="default" r:id="rId9"/>
      <w:footnotePr/>
      <w:endnotePr/>
      <w:type w:val="nextPage"/>
      <w:pgSz w:w="16838" w:h="11906" w:orient="landscape"/>
      <w:pgMar w:top="568" w:right="539" w:bottom="284" w:left="42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9</w:t>
    </w:r>
    <w:r>
      <w:rPr>
        <w:rFonts w:ascii="Times New Roman" w:hAnsi="Times New Roman"/>
      </w:rPr>
      <w:fldChar w:fldCharType="end"/>
    </w:r>
    <w:r/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 w:val="false"/>
      <w:suff w:val="tab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1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0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2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4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6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8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70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2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4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1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360"/>
        <w:tabs>
          <w:tab w:val="num" w:pos="10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40" w:hanging="360"/>
        <w:tabs>
          <w:tab w:val="num" w:pos="17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60" w:hanging="180"/>
        <w:tabs>
          <w:tab w:val="num" w:pos="24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80" w:hanging="360"/>
        <w:tabs>
          <w:tab w:val="num" w:pos="31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00" w:hanging="360"/>
        <w:tabs>
          <w:tab w:val="num" w:pos="39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20" w:hanging="180"/>
        <w:tabs>
          <w:tab w:val="num" w:pos="46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40" w:hanging="360"/>
        <w:tabs>
          <w:tab w:val="num" w:pos="53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60" w:hanging="360"/>
        <w:tabs>
          <w:tab w:val="num" w:pos="60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80" w:hanging="180"/>
        <w:tabs>
          <w:tab w:val="num" w:pos="67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</w:num>
  <w:num w:numId="13">
    <w:abstractNumId w:val="11"/>
  </w:num>
  <w:num w:numId="14">
    <w:abstractNumId w:val="8"/>
  </w:num>
  <w:num w:numId="15">
    <w:abstractNumId w:val="17"/>
  </w:num>
  <w:num w:numId="16">
    <w:abstractNumId w:val="0"/>
  </w:num>
  <w:num w:numId="17">
    <w:abstractNumId w:val="1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paragraph" w:styleId="889">
    <w:name w:val="Заголовок 1"/>
    <w:basedOn w:val="888"/>
    <w:next w:val="888"/>
    <w:link w:val="894"/>
    <w:qFormat/>
    <w:pPr>
      <w:keepNext/>
      <w:spacing w:before="240" w:after="60" w:line="240" w:lineRule="auto"/>
      <w:outlineLvl w:val="0"/>
    </w:pPr>
    <w:rPr>
      <w:rFonts w:ascii="Cambria" w:hAnsi="Cambria" w:eastAsia="Calibri"/>
      <w:b/>
      <w:bCs/>
      <w:sz w:val="32"/>
      <w:szCs w:val="32"/>
      <w:lang w:val="en-US" w:eastAsia="ru-RU"/>
    </w:rPr>
  </w:style>
  <w:style w:type="paragraph" w:styleId="890">
    <w:name w:val="Заголовок 2"/>
    <w:basedOn w:val="888"/>
    <w:next w:val="888"/>
    <w:link w:val="91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styleId="891">
    <w:name w:val="Основной шрифт абзаца"/>
    <w:next w:val="891"/>
    <w:link w:val="888"/>
    <w:uiPriority w:val="1"/>
    <w:unhideWhenUsed/>
  </w:style>
  <w:style w:type="table" w:styleId="892">
    <w:name w:val="Обычная таблица"/>
    <w:next w:val="892"/>
    <w:link w:val="888"/>
    <w:uiPriority w:val="99"/>
    <w:semiHidden/>
    <w:unhideWhenUsed/>
    <w:qFormat/>
    <w:tblPr/>
  </w:style>
  <w:style w:type="numbering" w:styleId="893">
    <w:name w:val="Нет списка"/>
    <w:next w:val="893"/>
    <w:link w:val="888"/>
    <w:uiPriority w:val="99"/>
    <w:semiHidden/>
    <w:unhideWhenUsed/>
  </w:style>
  <w:style w:type="character" w:styleId="894">
    <w:name w:val="Заголовок 1 Знак"/>
    <w:next w:val="894"/>
    <w:link w:val="889"/>
    <w:rPr>
      <w:rFonts w:ascii="Cambria" w:hAnsi="Cambria" w:cs="Times New Roman"/>
      <w:b/>
      <w:bCs/>
      <w:sz w:val="32"/>
      <w:szCs w:val="32"/>
      <w:lang w:eastAsia="ru-RU"/>
    </w:rPr>
  </w:style>
  <w:style w:type="paragraph" w:styleId="895">
    <w:name w:val="Абзац списка1"/>
    <w:basedOn w:val="888"/>
    <w:next w:val="895"/>
    <w:link w:val="888"/>
    <w:pPr>
      <w:ind w:left="720"/>
    </w:pPr>
  </w:style>
  <w:style w:type="table" w:styleId="896">
    <w:name w:val="Сетка таблицы"/>
    <w:basedOn w:val="892"/>
    <w:next w:val="896"/>
    <w:link w:val="888"/>
    <w:rPr>
      <w:rFonts w:eastAsia="Times New Roman"/>
    </w:rPr>
    <w:tblPr/>
  </w:style>
  <w:style w:type="paragraph" w:styleId="897">
    <w:name w:val="Текст выноски"/>
    <w:basedOn w:val="888"/>
    <w:next w:val="897"/>
    <w:link w:val="898"/>
    <w:semiHidden/>
    <w:pPr>
      <w:spacing w:after="0" w:line="240" w:lineRule="auto"/>
    </w:pPr>
    <w:rPr>
      <w:rFonts w:ascii="Tahoma" w:hAnsi="Tahoma" w:eastAsia="Calibri"/>
      <w:sz w:val="16"/>
      <w:szCs w:val="16"/>
      <w:lang w:val="en-US" w:eastAsia="en-US"/>
    </w:rPr>
  </w:style>
  <w:style w:type="character" w:styleId="898">
    <w:name w:val="Текст выноски Знак"/>
    <w:next w:val="898"/>
    <w:link w:val="897"/>
    <w:semiHidden/>
    <w:rPr>
      <w:rFonts w:ascii="Tahoma" w:hAnsi="Tahoma" w:cs="Tahoma"/>
      <w:sz w:val="16"/>
      <w:szCs w:val="16"/>
    </w:rPr>
  </w:style>
  <w:style w:type="paragraph" w:styleId="899">
    <w:name w:val="ConsPlusNonformat"/>
    <w:next w:val="899"/>
    <w:link w:val="88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0">
    <w:name w:val="ConsPlusNormal"/>
    <w:next w:val="900"/>
    <w:link w:val="88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1">
    <w:name w:val="ConsNormal"/>
    <w:next w:val="901"/>
    <w:link w:val="888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902">
    <w:name w:val="Верхний колонтитул"/>
    <w:basedOn w:val="888"/>
    <w:next w:val="902"/>
    <w:link w:val="903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val="en-US" w:eastAsia="en-US"/>
    </w:rPr>
  </w:style>
  <w:style w:type="character" w:styleId="903">
    <w:name w:val="Верхний колонтитул Знак"/>
    <w:next w:val="903"/>
    <w:link w:val="902"/>
    <w:rPr>
      <w:rFonts w:cs="Times New Roman"/>
    </w:rPr>
  </w:style>
  <w:style w:type="paragraph" w:styleId="904">
    <w:name w:val="Нижний колонтитул"/>
    <w:basedOn w:val="888"/>
    <w:next w:val="904"/>
    <w:link w:val="905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val="en-US" w:eastAsia="en-US"/>
    </w:rPr>
  </w:style>
  <w:style w:type="character" w:styleId="905">
    <w:name w:val="Нижний колонтитул Знак"/>
    <w:next w:val="905"/>
    <w:link w:val="904"/>
    <w:rPr>
      <w:rFonts w:cs="Times New Roman"/>
    </w:rPr>
  </w:style>
  <w:style w:type="paragraph" w:styleId="906">
    <w:name w:val="ConsPlusCell"/>
    <w:next w:val="906"/>
    <w:link w:val="888"/>
    <w:rPr>
      <w:rFonts w:ascii="Arial" w:hAnsi="Arial" w:eastAsia="Times New Roman" w:cs="Arial"/>
      <w:lang w:val="ru-RU" w:eastAsia="en-US" w:bidi="ar-SA"/>
    </w:rPr>
  </w:style>
  <w:style w:type="paragraph" w:styleId="907">
    <w:name w:val="ConsPlusTitle"/>
    <w:next w:val="907"/>
    <w:link w:val="888"/>
    <w:uiPriority w:val="99"/>
    <w:pPr>
      <w:widowControl w:val="off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styleId="908">
    <w:name w:val="Текст сноски"/>
    <w:basedOn w:val="888"/>
    <w:next w:val="908"/>
    <w:link w:val="909"/>
    <w:semiHidden/>
    <w:pPr>
      <w:spacing w:after="0" w:line="240" w:lineRule="auto"/>
    </w:pPr>
    <w:rPr>
      <w:sz w:val="20"/>
      <w:szCs w:val="20"/>
      <w:lang w:val="en-US"/>
    </w:rPr>
  </w:style>
  <w:style w:type="character" w:styleId="909">
    <w:name w:val="Текст сноски Знак"/>
    <w:next w:val="909"/>
    <w:link w:val="908"/>
    <w:semiHidden/>
    <w:rPr>
      <w:rFonts w:ascii="Calibri" w:hAnsi="Calibri" w:eastAsia="Times New Roman" w:cs="Times New Roman"/>
      <w:sz w:val="20"/>
      <w:szCs w:val="20"/>
      <w:lang w:eastAsia="en-US"/>
    </w:rPr>
  </w:style>
  <w:style w:type="character" w:styleId="910">
    <w:name w:val="Знак сноски"/>
    <w:next w:val="910"/>
    <w:link w:val="888"/>
    <w:semiHidden/>
    <w:rPr>
      <w:rFonts w:cs="Times New Roman"/>
      <w:vertAlign w:val="superscript"/>
    </w:rPr>
  </w:style>
  <w:style w:type="character" w:styleId="911">
    <w:name w:val="Гиперссылка"/>
    <w:next w:val="911"/>
    <w:link w:val="888"/>
    <w:semiHidden/>
    <w:rPr>
      <w:rFonts w:cs="Times New Roman"/>
      <w:color w:val="0000ff"/>
      <w:u w:val="single"/>
    </w:rPr>
  </w:style>
  <w:style w:type="paragraph" w:styleId="912">
    <w:name w:val="Основной текст"/>
    <w:basedOn w:val="888"/>
    <w:next w:val="912"/>
    <w:link w:val="913"/>
    <w:pPr>
      <w:spacing w:after="0" w:line="240" w:lineRule="auto"/>
    </w:pPr>
    <w:rPr>
      <w:rFonts w:ascii="Times New Roman" w:hAnsi="Times New Roman" w:eastAsia="Calibri"/>
      <w:sz w:val="20"/>
      <w:szCs w:val="20"/>
      <w:lang w:val="en-US" w:eastAsia="en-US"/>
    </w:rPr>
  </w:style>
  <w:style w:type="character" w:styleId="913">
    <w:name w:val="Основной текст Знак"/>
    <w:next w:val="913"/>
    <w:link w:val="912"/>
    <w:rPr>
      <w:rFonts w:ascii="Times New Roman" w:hAnsi="Times New Roman" w:cs="Times New Roman"/>
      <w:sz w:val="20"/>
      <w:szCs w:val="20"/>
    </w:rPr>
  </w:style>
  <w:style w:type="character" w:styleId="914">
    <w:name w:val="Основной текст_"/>
    <w:next w:val="914"/>
    <w:link w:val="9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915">
    <w:name w:val="Основной текст1"/>
    <w:basedOn w:val="888"/>
    <w:next w:val="915"/>
    <w:link w:val="914"/>
    <w:pPr>
      <w:jc w:val="both"/>
      <w:spacing w:before="300" w:after="0" w:line="320" w:lineRule="exact"/>
      <w:shd w:val="clear" w:color="auto" w:fill="ffffff"/>
    </w:pPr>
    <w:rPr>
      <w:rFonts w:ascii="Times New Roman" w:hAnsi="Times New Roman" w:eastAsia="Calibri"/>
      <w:sz w:val="26"/>
      <w:szCs w:val="26"/>
      <w:lang w:val="en-US" w:eastAsia="en-US"/>
    </w:rPr>
  </w:style>
  <w:style w:type="paragraph" w:styleId="916">
    <w:name w:val="Знак"/>
    <w:basedOn w:val="888"/>
    <w:next w:val="916"/>
    <w:link w:val="888"/>
    <w:pPr>
      <w:jc w:val="right"/>
      <w:spacing w:after="160" w:line="240" w:lineRule="exact"/>
      <w:widowControl w:val="off"/>
    </w:pPr>
    <w:rPr>
      <w:rFonts w:cs="Calibri"/>
      <w:sz w:val="20"/>
      <w:szCs w:val="20"/>
      <w:lang w:val="en-GB" w:eastAsia="ar-SA"/>
    </w:rPr>
  </w:style>
  <w:style w:type="paragraph" w:styleId="917">
    <w:name w:val="Нормальный"/>
    <w:next w:val="917"/>
    <w:link w:val="888"/>
    <w:pPr>
      <w:widowControl w:val="off"/>
    </w:pPr>
    <w:rPr>
      <w:rFonts w:ascii="Times New Roman" w:hAnsi="Times New Roman"/>
      <w:color w:val="000000"/>
      <w:sz w:val="24"/>
      <w:szCs w:val="24"/>
      <w:lang w:val="ru-RU" w:eastAsia="ar-SA" w:bidi="ar-SA"/>
    </w:rPr>
  </w:style>
  <w:style w:type="paragraph" w:styleId="918">
    <w:name w:val="Знак1 Знак Знак Знак"/>
    <w:basedOn w:val="888"/>
    <w:next w:val="918"/>
    <w:link w:val="888"/>
    <w:pPr>
      <w:jc w:val="right"/>
      <w:spacing w:after="160" w:line="240" w:lineRule="exact"/>
      <w:widowControl w:val="off"/>
    </w:pPr>
    <w:rPr>
      <w:rFonts w:ascii="Times New Roman" w:hAnsi="Times New Roman"/>
      <w:sz w:val="20"/>
      <w:szCs w:val="20"/>
      <w:lang w:val="en-GB"/>
    </w:rPr>
  </w:style>
  <w:style w:type="character" w:styleId="919">
    <w:name w:val="Заголовок 2 Знак"/>
    <w:next w:val="919"/>
    <w:link w:val="890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920">
    <w:name w:val="Знак Знак1 Знак"/>
    <w:basedOn w:val="888"/>
    <w:next w:val="920"/>
    <w:link w:val="888"/>
    <w:pPr>
      <w:jc w:val="right"/>
      <w:spacing w:after="160" w:line="240" w:lineRule="exact"/>
      <w:widowControl w:val="off"/>
    </w:pPr>
    <w:rPr>
      <w:rFonts w:ascii="Times New Roman" w:hAnsi="Times New Roman"/>
      <w:sz w:val="20"/>
      <w:szCs w:val="20"/>
      <w:lang w:val="en-GB"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Relationship Id="rId13" Type="http://schemas.openxmlformats.org/officeDocument/2006/relationships/chart" Target="charts/chart4.xml" /><Relationship Id="rId14" Type="http://schemas.openxmlformats.org/officeDocument/2006/relationships/chart" Target="charts/chart5.xml" /><Relationship Id="rId15" Type="http://schemas.openxmlformats.org/officeDocument/2006/relationships/chart" Target="charts/chart6.xml" /><Relationship Id="rId16" Type="http://schemas.openxmlformats.org/officeDocument/2006/relationships/chart" Target="charts/chart7.xml" /><Relationship Id="rId17" Type="http://schemas.openxmlformats.org/officeDocument/2006/relationships/chart" Target="charts/chart8.xml" /><Relationship Id="rId18" Type="http://schemas.openxmlformats.org/officeDocument/2006/relationships/chart" Target="charts/chart9.xml" /><Relationship Id="rId19" Type="http://schemas.openxmlformats.org/officeDocument/2006/relationships/chart" Target="charts/chart10.xml" /><Relationship Id="rId20" Type="http://schemas.openxmlformats.org/officeDocument/2006/relationships/image" Target="media/image1.jpg"/><Relationship Id="rId2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10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0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6.xlsx" /></Relationships>
</file>

<file path=word/charts/_rels/chart7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7.xlsx" /></Relationships>
</file>

<file path=word/charts/_rels/chart8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8.xlsx" /></Relationships>
</file>

<file path=word/charts/_rels/chart9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9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vert="horz"/>
          <a:p>
            <a:pPr>
              <a:defRPr sz="1400" b="0" i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/>
              <a:t>Количество пожаров г. Пермь за 3 месяца 2025 года</a:t>
            </a:r>
            <a:endParaRPr/>
          </a:p>
        </c:rich>
      </c:tx>
      <c:layout>
        <c:manualLayout>
          <c:xMode val="edge"/>
          <c:yMode val="edge"/>
          <c:x val="0.336700"/>
          <c:y val="0.030120"/>
        </c:manualLayout>
      </c:layout>
      <c:overlay val="0"/>
    </c:title>
    <c:plotArea>
      <c:layout>
        <c:manualLayout>
          <c:layoutTarget val="inner"/>
          <c:xMode val="edge"/>
          <c:yMode val="edge"/>
          <c:wMode val="factor"/>
          <c:hMode val="factor"/>
          <c:x val="0.069760"/>
          <c:y val="0.134030"/>
          <c:w val="0.722950"/>
          <c:h val="0.572290"/>
        </c:manualLayout>
      </c:layout>
      <c:barChart>
        <c:barDir val="col"/>
        <c:grouping val="standard"/>
        <c:varyColors val="0"/>
        <c:ser>
          <c:idx val="0"/>
          <c:order val="0"/>
          <c:tx>
            <c:strRef>
              <c:f>Лист1!$B$30</c:f>
              <c:strCache>
                <c:ptCount val="1"/>
                <c:pt idx="0">
                  <c:v>2024</c:v>
                </c:pt>
              </c:strCache>
            </c:strRef>
          </c:tx>
          <c:spPr bwMode="auto">
            <a:prstGeom prst="rect">
              <a:avLst/>
            </a:prstGeom>
            <a:solidFill>
              <a:srgbClr val="004586"/>
            </a:solidFill>
            <a:ln w="12700">
              <a:solidFill>
                <a:srgbClr val="000000"/>
              </a:solidFill>
              <a:prstDash val="solid"/>
            </a:ln>
          </c:spPr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txPr>
              <a:bodyPr/>
              <a:p>
                <a:pPr>
                  <a:defRPr sz="1200" b="1">
                    <a:latin typeface="Times New Roman"/>
                    <a:ea typeface="Times New Roman"/>
                    <a:cs typeface="Times New Roman"/>
                  </a:defRPr>
                </a:pPr>
                <a:endParaRPr/>
              </a:p>
            </c:txPr>
          </c:dLbls>
          <c:cat>
            <c:strRef>
              <c:f>Лист1!$A$31:$A$39</c:f>
              <c:strCache>
                <c:ptCount val="9"/>
                <c:pt idx="0">
                  <c:v>г.Пермь</c:v>
                </c:pt>
                <c:pt idx="1">
                  <c:v>Дзержинский</c:v>
                </c:pt>
                <c:pt idx="2">
                  <c:v>Индустриальный</c:v>
                </c:pt>
                <c:pt idx="3">
                  <c:v>Кировский</c:v>
                </c:pt>
                <c:pt idx="4">
                  <c:v>Ленинский</c:v>
                </c:pt>
                <c:pt idx="5">
                  <c:v>Мотовилихинский</c:v>
                </c:pt>
                <c:pt idx="6">
                  <c:v>Свердловский</c:v>
                </c:pt>
                <c:pt idx="7">
                  <c:v>Орджоникидзевский</c:v>
                </c:pt>
              </c:strCache>
            </c:strRef>
          </c:cat>
          <c:val>
            <c:numRef>
              <c:f>Лист1!$B$31:$B$39</c:f>
              <c:numCache>
                <c:formatCode>General</c:formatCode>
                <c:ptCount val="9"/>
                <c:pt idx="0" formatCode="General">
                  <c:v>255</c:v>
                </c:pt>
                <c:pt idx="1" formatCode="General">
                  <c:v>25</c:v>
                </c:pt>
                <c:pt idx="2" formatCode="_-* #,##0_р_._-;\-* #,##0_р_._-;_-* \-??_р_._-;_-@_-">
                  <c:v>41</c:v>
                </c:pt>
                <c:pt idx="3" formatCode="General">
                  <c:v>27</c:v>
                </c:pt>
                <c:pt idx="4" formatCode="_-* #,##0_р_._-;\-* #,##0_р_._-;_-* \-??_р_._-;_-@_-">
                  <c:v>10</c:v>
                </c:pt>
                <c:pt idx="5" formatCode="_-* #,##0_р_._-;\-* #,##0_р_._-;_-* \-??_р_._-;_-@_-">
                  <c:v>61</c:v>
                </c:pt>
                <c:pt idx="6" formatCode="General">
                  <c:v>62</c:v>
                </c:pt>
                <c:pt idx="7" formatCode="General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Лист1!$C$30</c:f>
              <c:strCache>
                <c:ptCount val="1"/>
                <c:pt idx="0">
                  <c:v>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420E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Pr>
                <a:bodyPr rot="0" vert="horz"/>
                <a:lstStyle/>
                <a:p>
                  <a:pPr>
                    <a:defRPr sz="1200" b="1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Pr>
                <a:bodyPr rot="0" vert="horz"/>
                <a:lstStyle/>
                <a:p>
                  <a:pPr>
                    <a:defRPr sz="1200" b="1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Pr>
                <a:bodyPr rot="0" vert="horz"/>
                <a:lstStyle/>
                <a:p>
                  <a:pPr>
                    <a:defRPr sz="1200" b="1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Pr>
                <a:bodyPr rot="0" vert="horz"/>
                <a:lstStyle/>
                <a:p>
                  <a:pPr>
                    <a:defRPr sz="1200" b="1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Pr>
                <a:bodyPr rot="0" vert="horz"/>
                <a:lstStyle/>
                <a:p>
                  <a:pPr>
                    <a:defRPr sz="1200" b="1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/>
                </a:p>
              </c:txPr>
            </c:dLbl>
            <c:dLbl>
              <c:idx val="5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Pr>
                <a:bodyPr rot="0" vert="horz"/>
                <a:lstStyle/>
                <a:p>
                  <a:pPr>
                    <a:defRPr sz="1200" b="1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/>
                </a:p>
              </c:txPr>
            </c:dLbl>
            <c:dLbl>
              <c:idx val="7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Pr>
                <a:bodyPr rot="0" vert="horz"/>
                <a:lstStyle/>
                <a:p>
                  <a:pPr>
                    <a:defRPr sz="1200" b="1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/>
                </a:p>
              </c:txPr>
            </c:dLbl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txPr>
              <a:bodyPr/>
              <a:p>
                <a:pPr>
                  <a:defRPr sz="1200" b="1">
                    <a:latin typeface="Times New Roman"/>
                    <a:ea typeface="Times New Roman"/>
                    <a:cs typeface="Times New Roman"/>
                  </a:defRPr>
                </a:pPr>
                <a:endParaRPr/>
              </a:p>
            </c:txPr>
          </c:dLbls>
          <c:cat>
            <c:strRef>
              <c:f>Лист1!$A$31:$A$39</c:f>
              <c:strCache>
                <c:ptCount val="9"/>
                <c:pt idx="0">
                  <c:v>г.Пермь</c:v>
                </c:pt>
                <c:pt idx="1">
                  <c:v>Дзержинский</c:v>
                </c:pt>
                <c:pt idx="2">
                  <c:v>Индустриальный</c:v>
                </c:pt>
                <c:pt idx="3">
                  <c:v>Кировский</c:v>
                </c:pt>
                <c:pt idx="4">
                  <c:v>Ленинский</c:v>
                </c:pt>
                <c:pt idx="5">
                  <c:v>Мотовилихинский</c:v>
                </c:pt>
                <c:pt idx="6">
                  <c:v>Свердловский</c:v>
                </c:pt>
                <c:pt idx="7">
                  <c:v>Орджоникидзевский</c:v>
                </c:pt>
              </c:strCache>
            </c:strRef>
          </c:cat>
          <c:val>
            <c:numRef>
              <c:f>Лист1!$C$31:$C$39</c:f>
              <c:numCache>
                <c:formatCode>General</c:formatCode>
                <c:ptCount val="9"/>
                <c:pt idx="0" formatCode="General">
                  <c:v>223</c:v>
                </c:pt>
                <c:pt idx="1" formatCode="General">
                  <c:v>26</c:v>
                </c:pt>
                <c:pt idx="2" formatCode="_-* #,##0_р_._-;\-* #,##0_р_._-;_-* \-??_р_._-;_-@_-">
                  <c:v>35</c:v>
                </c:pt>
                <c:pt idx="3" formatCode="General">
                  <c:v>28</c:v>
                </c:pt>
                <c:pt idx="4" formatCode="_-* #,##0_р_._-;\-* #,##0_р_._-;_-* \-??_р_._-;_-@_-">
                  <c:v>14</c:v>
                </c:pt>
                <c:pt idx="5" formatCode="_-* #,##0_р_._-;\-* #,##0_р_._-;_-* \-??_р_._-;_-@_-">
                  <c:v>49</c:v>
                </c:pt>
                <c:pt idx="6" formatCode="General">
                  <c:v>50</c:v>
                </c:pt>
                <c:pt idx="7" formatCode="General">
                  <c:v>21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513"/>
        <c:axId val="1866169514"/>
      </c:barChart>
      <c:catAx>
        <c:axId val="186616951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B3B3B3"/>
            </a:solidFill>
            <a:prstDash val="solid"/>
          </a:ln>
        </c:spPr>
        <c:txPr>
          <a:bodyPr rot="-4560000" vert="horz"/>
          <a:p>
            <a:pPr>
              <a:defRPr sz="1000" b="1" i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514"/>
        <c:crosses val="autoZero"/>
        <c:lblAlgn val="ctr"/>
        <c:lblOffset val="100"/>
        <c:noMultiLvlLbl val="0"/>
      </c:catAx>
      <c:valAx>
        <c:axId val="1866169514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B3B3B3"/>
              </a:solidFill>
              <a:prstDash val="solid"/>
            </a:ln>
          </c:spPr>
        </c:majorGridlines>
        <c:title>
          <c:tx>
            <c:rich>
              <a:bodyPr rot="-5400000" vert="horz"/>
              <a:p>
                <a:pPr>
                  <a:defRPr sz="1200" b="1" i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/>
                  <a:t>количество</a:t>
                </a:r>
                <a:endParaRPr/>
              </a:p>
            </c:rich>
          </c:tx>
          <c:layout>
            <c:manualLayout>
              <c:xMode val="edge"/>
              <c:yMode val="edge"/>
              <c:x val="0.007070"/>
              <c:y val="0.329820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B3B3B3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513"/>
        <c:crosses val="autoZero"/>
        <c:crossBetween val="midCat"/>
      </c:valAx>
      <c:spPr bwMode="auto">
        <a:prstGeom prst="rect">
          <a:avLst/>
        </a:prstGeom>
        <a:noFill/>
        <a:ln w="3175">
          <a:solidFill>
            <a:srgbClr val="B3B3B3"/>
          </a:solidFill>
          <a:prstDash val="solid"/>
        </a:ln>
      </c:spPr>
    </c:plotArea>
    <c:legend>
      <c:layout>
        <c:manualLayout>
          <c:xMode val="edge"/>
          <c:yMode val="edge"/>
          <c:wMode val="edge"/>
          <c:hMode val="edge"/>
          <c:x val="0.854540"/>
          <c:y val="0.388570"/>
          <c:w val="0.925970"/>
          <c:h val="0.472380"/>
        </c:manualLayout>
      </c:layout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900" b="0" i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6768729" cy="4771459"/>
    </a:xfrm>
    <a:prstGeom prst="rect">
      <a:avLst/>
    </a:prstGeom>
    <a:solidFill>
      <a:srgbClr val="FFFFFF"/>
    </a:solidFill>
    <a:ln w="3175">
      <a:noFill/>
    </a:ln>
  </c:spPr>
  <c:txPr>
    <a:bodyPr rot="0" vert="horz"/>
    <a:lstStyle/>
    <a:p>
      <a:pPr>
        <a:defRPr sz="1000" b="0" i="0">
          <a:solidFill>
            <a:srgbClr val="000000"/>
          </a:solidFill>
          <a:latin typeface="Arial Cyr"/>
          <a:ea typeface="Arial Cyr"/>
          <a:cs typeface="Arial Cyr"/>
        </a:defRPr>
      </a:pPr>
      <a:endParaRPr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vert="horz"/>
          <a:p>
            <a:pPr>
              <a:defRPr sz="1400" b="0" i="0">
                <a:solidFill>
                  <a:schemeClr val="tx1"/>
                </a:solidFill>
                <a:latin typeface="Times New Roman"/>
                <a:ea typeface="Times New Roman"/>
                <a:cs typeface="Times New Roman"/>
              </a:defRPr>
            </a:pPr>
            <a:r>
              <a:rPr sz="1400">
                <a:solidFill>
                  <a:schemeClr val="tx1"/>
                </a:solidFill>
                <a:latin typeface="Times New Roman"/>
                <a:ea typeface="Times New Roman"/>
                <a:cs typeface="Times New Roman"/>
              </a:rPr>
              <a:t>Причины пожаров в городе Перми за  3 месяца 2024 года</a:t>
            </a:r>
            <a:endParaRPr sz="1400">
              <a:solidFill>
                <a:schemeClr val="tx1"/>
              </a:solidFill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285690"/>
          <c:y val="0.035900"/>
        </c:manualLayout>
      </c:layout>
      <c:overlay val="0"/>
      <c:txPr>
        <a:bodyPr/>
        <a:p>
          <a:pPr>
            <a:defRPr sz="1400">
              <a:solidFill>
                <a:schemeClr val="tx1"/>
              </a:solidFill>
              <a:latin typeface="Times New Roman"/>
              <a:ea typeface="Times New Roman"/>
              <a:cs typeface="Times New Roman"/>
            </a:defRPr>
          </a:pPr>
          <a:endParaRPr/>
        </a:p>
      </c:txPr>
    </c:title>
    <c:plotArea>
      <c:layout>
        <c:manualLayout>
          <c:layoutTarget val="inner"/>
          <c:xMode val="edge"/>
          <c:yMode val="edge"/>
          <c:wMode val="factor"/>
          <c:hMode val="factor"/>
          <c:x val="0.346820"/>
          <c:y val="0.334910"/>
          <c:w val="0.306350"/>
          <c:h val="0.418640"/>
        </c:manualLayout>
      </c:layout>
      <c:pieChart>
        <c:varyColors val="1"/>
        <c:ser>
          <c:idx val="1"/>
          <c:order val="0"/>
          <c:tx>
            <c:strRef>
              <c:f>Лист1!$C$30</c:f>
              <c:strCache>
                <c:ptCount val="1"/>
                <c:pt idx="0">
                  <c:v>2024</c:v>
                </c:pt>
              </c:strCache>
            </c:strRef>
          </c:tx>
          <c:spPr bwMode="auto">
            <a:prstGeom prst="rect">
              <a:avLst/>
            </a:prstGeom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howBubbleSize val="0"/>
            <c:showCatName val="1"/>
            <c:showLeaderLines val="1"/>
            <c:showLegendKey val="0"/>
            <c:showPercent val="1"/>
            <c:showSerName val="0"/>
            <c:showVal val="0"/>
            <c:txPr>
              <a:bodyPr/>
              <a:p>
                <a:pPr>
                  <a:defRPr sz="1100">
                    <a:latin typeface="Times New Roman"/>
                    <a:ea typeface="Times New Roman"/>
                    <a:cs typeface="Times New Roman"/>
                  </a:defRPr>
                </a:pPr>
                <a:endParaRPr/>
              </a:p>
            </c:txPr>
          </c:dLbls>
          <c:cat>
            <c:strRef>
              <c:f>Лист1!$A$31:$A$39</c:f>
              <c:strCache>
                <c:ptCount val="9"/>
                <c:pt idx="0">
                  <c:v xml:space="preserve">Неосторожное обращение с огнем</c:v>
                </c:pt>
                <c:pt idx="1">
                  <c:v>Поджог</c:v>
                </c:pt>
                <c:pt idx="2">
                  <c:v xml:space="preserve">НПУ и Э электрооборудования</c:v>
                </c:pt>
                <c:pt idx="3">
                  <c:v xml:space="preserve">НПУ и Э печей</c:v>
                </c:pt>
              </c:strCache>
            </c:strRef>
          </c:cat>
          <c:val>
            <c:numRef>
              <c:f>Лист1!$C$31:$C$39</c:f>
              <c:numCache>
                <c:formatCode>General</c:formatCode>
                <c:ptCount val="9"/>
                <c:pt idx="0" formatCode="General">
                  <c:v>95</c:v>
                </c:pt>
                <c:pt idx="1" formatCode="General">
                  <c:v>28</c:v>
                </c:pt>
                <c:pt idx="2" formatCode="_-* #,##0_р_._-;\-* #,##0_р_._-;_-* \-??_р_._-;_-@_-">
                  <c:v>79</c:v>
                </c:pt>
                <c:pt idx="3" formatCode="General">
                  <c:v>30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</c:pieChart>
    </c:plotArea>
    <c:plotVisOnly val="1"/>
    <c:dispBlanksAs val="zero"/>
    <c:showDLblsOverMax val="0"/>
  </c:chart>
  <c:spPr bwMode="auto">
    <a:xfrm>
      <a:off x="0" y="0"/>
      <a:ext cx="4701562" cy="3800111"/>
    </a:xfrm>
    <a:prstGeom prst="rect">
      <a:avLst/>
    </a:prstGeom>
    <a:gradFill rotWithShape="0">
      <a:gsLst>
        <a:gs pos="0">
          <a:srgbClr val="CCE0F5"/>
        </a:gs>
        <a:gs pos="100000">
          <a:srgbClr val="0066CC"/>
        </a:gs>
      </a:gsLst>
      <a:lin ang="5400000" scaled="1"/>
    </a:gradFill>
    <a:ln w="3175">
      <a:solidFill>
        <a:srgbClr val="00000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Arial"/>
          <a:ea typeface="Arial"/>
          <a:cs typeface="Arial"/>
        </a:defRPr>
      </a:pPr>
      <a:endParaRPr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vert="horz"/>
          <a:p>
            <a:pPr>
              <a:defRPr sz="1200" b="0" i="1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/>
              <a:t>Количество пожаров на 10 тысяч населения, ед. </a:t>
            </a:r>
            <a:br>
              <a:rPr/>
            </a:br>
            <a:r>
              <a:rPr/>
              <a:t>г. Пермь, за 3 месяца 2025 года</a:t>
            </a:r>
            <a:endParaRPr/>
          </a:p>
        </c:rich>
      </c:tx>
      <c:layout>
        <c:manualLayout>
          <c:xMode val="edge"/>
          <c:yMode val="edge"/>
          <c:x val="0.302900"/>
          <c:y val="0.057380"/>
        </c:manualLayout>
      </c:layout>
      <c:overlay val="0"/>
      <c:spPr bwMode="auto">
        <a:prstGeom prst="rect">
          <a:avLst/>
        </a:prstGeom>
        <a:solidFill>
          <a:srgbClr val="9999FF"/>
        </a:solidFill>
        <a:ln w="3175">
          <a:noFill/>
          <a:miter/>
        </a:ln>
      </c:spPr>
    </c:title>
    <c:view3D>
      <c:rotX val="45"/>
      <c:hPercent val="50"/>
      <c:depthPercent val="100"/>
      <c:rAngAx val="0"/>
      <c:perspective val="0"/>
    </c:view3D>
    <c:floor>
      <c:spPr bwMode="auto">
        <a:prstGeom prst="rect">
          <a:avLst/>
        </a:prstGeom>
        <a:solidFill>
          <a:srgbClr val="C0C0C0"/>
        </a:solidFill>
      </c:spPr>
    </c:floor>
    <c:sideWall>
      <c:spPr bwMode="auto">
        <a:prstGeom prst="rect">
          <a:avLst/>
        </a:prstGeom>
        <a:noFill/>
      </c:spPr>
    </c:sideWall>
    <c:backWall>
      <c:spPr bwMode="auto">
        <a:prstGeom prst="rect">
          <a:avLst/>
        </a:prstGeom>
        <a:noFill/>
      </c:spPr>
    </c:backWall>
    <c:plotArea>
      <c:layout>
        <c:manualLayout>
          <c:layoutTarget val="inner"/>
          <c:xMode val="edge"/>
          <c:yMode val="edge"/>
          <c:wMode val="factor"/>
          <c:hMode val="factor"/>
          <c:x val="0.122540"/>
          <c:y val="0.130530"/>
          <c:w val="0.827380"/>
          <c:h val="0.522120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Лист1!$B$41</c:f>
              <c:strCache>
                <c:ptCount val="1"/>
                <c:pt idx="0">
                  <c:v>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>Лист1!$A$42:$A$49</c:f>
              <c:strCache>
                <c:ptCount val="8"/>
                <c:pt idx="0">
                  <c:v>г.Пермь</c:v>
                </c:pt>
                <c:pt idx="1">
                  <c:v>Дзержинский</c:v>
                </c:pt>
                <c:pt idx="2">
                  <c:v>Индустриальный</c:v>
                </c:pt>
                <c:pt idx="3">
                  <c:v>Кировский</c:v>
                </c:pt>
                <c:pt idx="4">
                  <c:v>Ленинский</c:v>
                </c:pt>
                <c:pt idx="5">
                  <c:v>Мотовилихинский</c:v>
                </c:pt>
                <c:pt idx="6">
                  <c:v>Свердловский</c:v>
                </c:pt>
                <c:pt idx="7">
                  <c:v>Орджоникидзевский</c:v>
                </c:pt>
              </c:strCache>
            </c:strRef>
          </c:cat>
          <c:val>
            <c:numRef>
              <c:f>Лист1!$B$42:$B$49</c:f>
              <c:numCache>
                <c:formatCode>General</c:formatCode>
                <c:ptCount val="8"/>
                <c:pt idx="0">
                  <c:v>2.13</c:v>
                </c:pt>
                <c:pt idx="1">
                  <c:v>1.56</c:v>
                </c:pt>
                <c:pt idx="2">
                  <c:v>2.06</c:v>
                </c:pt>
                <c:pt idx="3">
                  <c:v>2.14</c:v>
                </c:pt>
                <c:pt idx="4">
                  <c:v>2.56</c:v>
                </c:pt>
                <c:pt idx="5">
                  <c:v>2.53</c:v>
                </c:pt>
                <c:pt idx="6">
                  <c:v>2.29</c:v>
                </c:pt>
                <c:pt idx="7">
                  <c:v>1.81</c:v>
                </c:pt>
              </c:numCache>
            </c:numRef>
          </c:val>
          <c:shape val="coneToMax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0"/>
        <c:axId val="1866169540"/>
        <c:axId val="1866169541"/>
        <c:axId val="1866169542"/>
      </c:bar3DChart>
      <c:catAx>
        <c:axId val="18661695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 bwMode="auto"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-3060000" vert="horz"/>
          <a:p>
            <a:pPr>
              <a:defRPr sz="1000" b="0" i="1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541"/>
        <c:crosses val="autoZero"/>
        <c:lblAlgn val="ctr"/>
        <c:lblOffset val="100"/>
        <c:noMultiLvlLbl val="0"/>
      </c:catAx>
      <c:valAx>
        <c:axId val="186616954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one"/>
        <c:spPr bwMode="auto">
          <a:prstGeom prst="rect">
            <a:avLst/>
          </a:prstGeom>
          <a:ln w="3175">
            <a:noFill/>
          </a:ln>
        </c:spPr>
        <c:crossAx val="1866169540"/>
        <c:crosses val="autoZero"/>
        <c:crossBetween val="midCat"/>
      </c:valAx>
      <c:serAx>
        <c:axId val="186616954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 bwMode="auto"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541"/>
        <c:crosses val="autoZero"/>
      </c:serAx>
    </c:plotArea>
    <c:plotVisOnly val="1"/>
    <c:dispBlanksAs val="gap"/>
    <c:showDLblsOverMax val="0"/>
  </c:chart>
  <c:spPr bwMode="auto">
    <a:xfrm>
      <a:off x="0" y="0"/>
      <a:ext cx="6927117" cy="3486863"/>
    </a:xfrm>
    <a:prstGeom prst="rect">
      <a:avLst/>
    </a:prstGeom>
    <a:solidFill>
      <a:srgbClr val="FFFFFF"/>
    </a:solidFill>
    <a:ln w="3175">
      <a:solidFill>
        <a:srgbClr val="00000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Arial"/>
          <a:ea typeface="Arial"/>
          <a:cs typeface="Arial"/>
        </a:defRPr>
      </a:pPr>
      <a:endParaRPr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vert="horz"/>
          <a:p>
            <a:pPr>
              <a:defRPr sz="1400" b="0" i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/>
              <a:t>Количество погибших г. Пермь за 3 месяца 2025</a:t>
            </a:r>
            <a:endParaRPr/>
          </a:p>
        </c:rich>
      </c:tx>
      <c:layout>
        <c:manualLayout>
          <c:xMode val="edge"/>
          <c:yMode val="edge"/>
          <c:x val="0.223130"/>
          <c:y val="0.032430"/>
        </c:manualLayout>
      </c:layout>
      <c:overlay val="0"/>
    </c:title>
    <c:plotArea>
      <c:layout>
        <c:manualLayout>
          <c:layoutTarget val="inner"/>
          <c:xMode val="edge"/>
          <c:yMode val="edge"/>
          <c:wMode val="factor"/>
          <c:hMode val="factor"/>
          <c:x val="0.069940"/>
          <c:y val="0.147740"/>
          <c:w val="0.721960"/>
          <c:h val="0.387380"/>
        </c:manualLayout>
      </c:layout>
      <c:barChart>
        <c:barDir val="col"/>
        <c:grouping val="standard"/>
        <c:varyColors val="0"/>
        <c:ser>
          <c:idx val="0"/>
          <c:order val="0"/>
          <c:tx>
            <c:strRef>
              <c:f>Лист1!$B$30</c:f>
              <c:strCache>
                <c:ptCount val="1"/>
                <c:pt idx="0">
                  <c:v>2024</c:v>
                </c:pt>
              </c:strCache>
            </c:strRef>
          </c:tx>
          <c:spPr bwMode="auto">
            <a:prstGeom prst="rect">
              <a:avLst/>
            </a:prstGeom>
            <a:solidFill>
              <a:srgbClr val="004586"/>
            </a:solidFill>
            <a:ln w="12700">
              <a:solidFill>
                <a:srgbClr val="000000"/>
              </a:solidFill>
              <a:prstDash val="solid"/>
            </a:ln>
          </c:spPr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txPr>
              <a:bodyPr/>
              <a:p>
                <a:pPr>
                  <a:defRPr sz="1200" b="1">
                    <a:latin typeface="Times New Roman"/>
                    <a:ea typeface="Times New Roman"/>
                    <a:cs typeface="Times New Roman"/>
                  </a:defRPr>
                </a:pPr>
                <a:endParaRPr/>
              </a:p>
            </c:txPr>
          </c:dLbls>
          <c:cat>
            <c:strRef>
              <c:f>Лист1!$A$31:$A$39</c:f>
              <c:strCache>
                <c:ptCount val="9"/>
                <c:pt idx="0">
                  <c:v>г.Пермь</c:v>
                </c:pt>
                <c:pt idx="1">
                  <c:v>Дзержинский</c:v>
                </c:pt>
                <c:pt idx="2">
                  <c:v>Индустриальный</c:v>
                </c:pt>
                <c:pt idx="3">
                  <c:v>Кировский</c:v>
                </c:pt>
                <c:pt idx="4">
                  <c:v>Ленинский</c:v>
                </c:pt>
                <c:pt idx="5">
                  <c:v>Мотовилихинский</c:v>
                </c:pt>
                <c:pt idx="6">
                  <c:v xml:space="preserve">Свердловский и п. Новые Ляды</c:v>
                </c:pt>
                <c:pt idx="7">
                  <c:v>Орджоникидзевский</c:v>
                </c:pt>
              </c:strCache>
            </c:strRef>
          </c:cat>
          <c:val>
            <c:numRef>
              <c:f>Лист1!$B$31:$B$39</c:f>
              <c:numCache>
                <c:formatCode>General</c:formatCode>
                <c:ptCount val="9"/>
                <c:pt idx="0">
                  <c:v>20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10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Лист1!$C$30</c:f>
              <c:strCache>
                <c:ptCount val="1"/>
                <c:pt idx="0">
                  <c:v>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420E"/>
            </a:solidFill>
            <a:ln w="12700">
              <a:solidFill>
                <a:srgbClr val="000000"/>
              </a:solidFill>
              <a:prstDash val="solid"/>
            </a:ln>
          </c:spPr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txPr>
              <a:bodyPr/>
              <a:p>
                <a:pPr>
                  <a:defRPr sz="1200" b="1">
                    <a:latin typeface="Times New Roman"/>
                    <a:ea typeface="Times New Roman"/>
                    <a:cs typeface="Times New Roman"/>
                  </a:defRPr>
                </a:pPr>
                <a:endParaRPr/>
              </a:p>
            </c:txPr>
          </c:dLbls>
          <c:cat>
            <c:strRef>
              <c:f>Лист1!$A$31:$A$39</c:f>
              <c:strCache>
                <c:ptCount val="9"/>
                <c:pt idx="0">
                  <c:v>г.Пермь</c:v>
                </c:pt>
                <c:pt idx="1">
                  <c:v>Дзержинский</c:v>
                </c:pt>
                <c:pt idx="2">
                  <c:v>Индустриальный</c:v>
                </c:pt>
                <c:pt idx="3">
                  <c:v>Кировский</c:v>
                </c:pt>
                <c:pt idx="4">
                  <c:v>Ленинский</c:v>
                </c:pt>
                <c:pt idx="5">
                  <c:v>Мотовилихинский</c:v>
                </c:pt>
                <c:pt idx="6">
                  <c:v xml:space="preserve">Свердловский и п. Новые Ляды</c:v>
                </c:pt>
                <c:pt idx="7">
                  <c:v>Орджоникидзевский</c:v>
                </c:pt>
              </c:strCache>
            </c:strRef>
          </c:cat>
          <c:val>
            <c:numRef>
              <c:f>Лист1!$C$31:$C$39</c:f>
              <c:numCache>
                <c:formatCode>General</c:formatCode>
                <c:ptCount val="9"/>
                <c:pt idx="0">
                  <c:v>13</c:v>
                </c:pt>
                <c:pt idx="1">
                  <c:v>1</c:v>
                </c:pt>
                <c:pt idx="2">
                  <c:v>0</c:v>
                </c:pt>
                <c:pt idx="3">
                  <c:v>5</c:v>
                </c:pt>
                <c:pt idx="4">
                  <c:v>4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517"/>
        <c:axId val="1866169518"/>
      </c:barChart>
      <c:catAx>
        <c:axId val="186616951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B3B3B3"/>
            </a:solidFill>
            <a:prstDash val="solid"/>
          </a:ln>
        </c:spPr>
        <c:txPr>
          <a:bodyPr rot="-4560000" vert="horz"/>
          <a:p>
            <a:pPr>
              <a:defRPr sz="1000" b="1" i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518"/>
        <c:crosses val="autoZero"/>
        <c:lblAlgn val="ctr"/>
        <c:lblOffset val="100"/>
        <c:noMultiLvlLbl val="0"/>
      </c:catAx>
      <c:valAx>
        <c:axId val="1866169518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B3B3B3"/>
              </a:solidFill>
              <a:prstDash val="solid"/>
            </a:ln>
          </c:spPr>
        </c:majorGridlines>
        <c:title>
          <c:tx>
            <c:rich>
              <a:bodyPr rot="-5400000" vert="horz"/>
              <a:p>
                <a:pPr>
                  <a:defRPr sz="1200" b="1" i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/>
                  <a:t>количество</a:t>
                </a:r>
                <a:endParaRPr/>
              </a:p>
            </c:rich>
          </c:tx>
          <c:layout>
            <c:manualLayout>
              <c:xMode val="edge"/>
              <c:yMode val="edge"/>
              <c:x val="0.008170"/>
              <c:y val="0.232430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B3B3B3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517"/>
        <c:crosses val="autoZero"/>
        <c:crossBetween val="midCat"/>
      </c:valAx>
      <c:spPr bwMode="auto">
        <a:prstGeom prst="rect">
          <a:avLst/>
        </a:prstGeom>
        <a:noFill/>
        <a:ln w="3175">
          <a:solidFill>
            <a:srgbClr val="B3B3B3"/>
          </a:solidFill>
          <a:prstDash val="solid"/>
        </a:ln>
      </c:spPr>
    </c:plotArea>
    <c:legend>
      <c:layout>
        <c:manualLayout>
          <c:xMode val="edge"/>
          <c:yMode val="edge"/>
          <c:wMode val="edge"/>
          <c:hMode val="edge"/>
          <c:x val="0.839340"/>
          <c:y val="0.362610"/>
          <c:w val="0.921920"/>
          <c:h val="0.461710"/>
        </c:manualLayout>
      </c:layout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900" b="0" i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6652791" cy="3805255"/>
    </a:xfrm>
    <a:prstGeom prst="rect">
      <a:avLst/>
    </a:prstGeom>
    <a:solidFill>
      <a:srgbClr val="FFFFFF"/>
    </a:solidFill>
    <a:ln w="3175">
      <a:noFill/>
    </a:ln>
  </c:spPr>
  <c:txPr>
    <a:bodyPr rot="0" vert="horz"/>
    <a:lstStyle/>
    <a:p>
      <a:pPr>
        <a:defRPr sz="1000" b="0" i="0">
          <a:solidFill>
            <a:srgbClr val="000000"/>
          </a:solidFill>
          <a:latin typeface="Arial Cyr"/>
          <a:ea typeface="Arial Cyr"/>
          <a:cs typeface="Arial Cyr"/>
        </a:defRPr>
      </a:pPr>
      <a:endParaRPr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vert="horz"/>
          <a:p>
            <a:pPr>
              <a:defRPr sz="1200" b="0" i="1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/>
              <a:t>Количество погибших на 10 тысяч населения, ед.</a:t>
            </a:r>
            <a:br>
              <a:rPr/>
            </a:br>
            <a:r>
              <a:rPr/>
              <a:t>г. Пермь, за 3 месяца 2025 год</a:t>
            </a:r>
            <a:endParaRPr/>
          </a:p>
        </c:rich>
      </c:tx>
      <c:layout>
        <c:manualLayout>
          <c:xMode val="edge"/>
          <c:yMode val="edge"/>
          <c:x val="0.297090"/>
          <c:y val="0.034020"/>
        </c:manualLayout>
      </c:layout>
      <c:overlay val="0"/>
    </c:title>
    <c:view3D>
      <c:rotX val="45"/>
      <c:hPercent val="50"/>
      <c:depthPercent val="100"/>
      <c:rAngAx val="0"/>
      <c:perspective val="0"/>
    </c:view3D>
    <c:floor>
      <c:spPr bwMode="auto">
        <a:prstGeom prst="rect">
          <a:avLst/>
        </a:prstGeom>
        <a:solidFill>
          <a:srgbClr val="C0C0C0"/>
        </a:solidFill>
      </c:spPr>
    </c:floor>
    <c:sideWall>
      <c:spPr bwMode="auto">
        <a:prstGeom prst="rect">
          <a:avLst/>
        </a:prstGeom>
        <a:noFill/>
      </c:spPr>
    </c:sideWall>
    <c:backWall>
      <c:spPr bwMode="auto">
        <a:prstGeom prst="rect">
          <a:avLst/>
        </a:prstGeom>
        <a:noFill/>
      </c:spPr>
    </c:backWall>
    <c:plotArea>
      <c:layout>
        <c:manualLayout>
          <c:layoutTarget val="inner"/>
          <c:xMode val="edge"/>
          <c:yMode val="edge"/>
          <c:wMode val="factor"/>
          <c:hMode val="factor"/>
          <c:x val="0.140240"/>
          <c:y val="0.170500"/>
          <c:w val="0.743220"/>
          <c:h val="0.505960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Лист1!$B$54</c:f>
              <c:strCache>
                <c:ptCount val="1"/>
                <c:pt idx="0">
                  <c:v>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>Лист1!$A$55:$A$62</c:f>
              <c:strCache>
                <c:ptCount val="8"/>
                <c:pt idx="0">
                  <c:v>г.Пермь</c:v>
                </c:pt>
                <c:pt idx="1">
                  <c:v>Дзержинский</c:v>
                </c:pt>
                <c:pt idx="2">
                  <c:v>Индустриальный</c:v>
                </c:pt>
                <c:pt idx="3">
                  <c:v>Кировский</c:v>
                </c:pt>
                <c:pt idx="4">
                  <c:v>Ленинский</c:v>
                </c:pt>
                <c:pt idx="5">
                  <c:v>Мотовилихинский</c:v>
                </c:pt>
                <c:pt idx="6">
                  <c:v>Свердловский</c:v>
                </c:pt>
                <c:pt idx="7">
                  <c:v>Орджоникидзевский</c:v>
                </c:pt>
              </c:strCache>
            </c:strRef>
          </c:cat>
          <c:val>
            <c:numRef>
              <c:f>Лист1!$B$55:$B$62</c:f>
              <c:numCache>
                <c:formatCode>General</c:formatCode>
                <c:ptCount val="8"/>
                <c:pt idx="0" formatCode="General">
                  <c:v>0.12</c:v>
                </c:pt>
                <c:pt idx="1" formatCode="General">
                  <c:v>0.06</c:v>
                </c:pt>
                <c:pt idx="2" formatCode="General">
                  <c:v>0</c:v>
                </c:pt>
                <c:pt idx="3" formatCode="General">
                  <c:v>0.38</c:v>
                </c:pt>
                <c:pt idx="4" formatCode="General">
                  <c:v>0.73</c:v>
                </c:pt>
                <c:pt idx="5" formatCode="General">
                  <c:v>0</c:v>
                </c:pt>
                <c:pt idx="6" formatCode="General">
                  <c:v>0.09</c:v>
                </c:pt>
                <c:pt idx="7" formatCode="0.00">
                  <c:v>0.09</c:v>
                </c:pt>
              </c:numCache>
            </c:numRef>
          </c:val>
          <c:shape val="coneToMax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0"/>
        <c:axId val="1866169519"/>
        <c:axId val="1866169520"/>
        <c:axId val="1866169521"/>
      </c:bar3DChart>
      <c:catAx>
        <c:axId val="186616951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 bwMode="auto"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-2820000" vert="horz"/>
          <a:p>
            <a:pPr>
              <a:defRPr sz="1150" b="0" i="1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520"/>
        <c:crosses val="autoZero"/>
        <c:lblAlgn val="ctr"/>
        <c:lblOffset val="100"/>
        <c:noMultiLvlLbl val="0"/>
      </c:catAx>
      <c:valAx>
        <c:axId val="18661695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one"/>
        <c:spPr bwMode="auto">
          <a:prstGeom prst="rect">
            <a:avLst/>
          </a:prstGeom>
          <a:ln w="3175">
            <a:noFill/>
          </a:ln>
        </c:spPr>
        <c:crossAx val="1866169519"/>
        <c:crosses val="autoZero"/>
        <c:crossBetween val="midCat"/>
      </c:valAx>
      <c:serAx>
        <c:axId val="186616952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 bwMode="auto"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p>
            <a:pPr>
              <a:defRPr sz="1050" b="0" i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520"/>
        <c:crosses val="autoZero"/>
      </c:serAx>
    </c:plotArea>
    <c:plotVisOnly val="1"/>
    <c:dispBlanksAs val="gap"/>
    <c:showDLblsOverMax val="0"/>
  </c:chart>
  <c:spPr bwMode="auto">
    <a:xfrm>
      <a:off x="0" y="0"/>
      <a:ext cx="7194566" cy="4190471"/>
    </a:xfrm>
    <a:prstGeom prst="rect">
      <a:avLst/>
    </a:prstGeom>
    <a:solidFill>
      <a:srgbClr val="FFFFFF"/>
    </a:solidFill>
    <a:ln w="3175">
      <a:solidFill>
        <a:srgbClr val="000000"/>
      </a:solidFill>
      <a:prstDash val="solid"/>
    </a:ln>
  </c:spPr>
  <c:txPr>
    <a:bodyPr rot="0" vert="horz"/>
    <a:lstStyle/>
    <a:p>
      <a:pPr>
        <a:defRPr sz="1050" b="0" i="0">
          <a:solidFill>
            <a:srgbClr val="000000"/>
          </a:solidFill>
          <a:latin typeface="Arial"/>
          <a:ea typeface="Arial"/>
          <a:cs typeface="Arial"/>
        </a:defRPr>
      </a:pPr>
      <a:endParaRPr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vert="horz"/>
          <a:p>
            <a:pPr>
              <a:defRPr sz="1400" b="0" i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/>
              <a:t>Количество травмированных г. Пермь за 3 месяца 2025 года</a:t>
            </a:r>
            <a:endParaRPr/>
          </a:p>
        </c:rich>
      </c:tx>
      <c:layout>
        <c:manualLayout>
          <c:xMode val="edge"/>
          <c:yMode val="edge"/>
          <c:x val="0.213190"/>
          <c:y val="0.029660"/>
        </c:manualLayout>
      </c:layout>
      <c:overlay val="0"/>
    </c:title>
    <c:plotArea>
      <c:layout>
        <c:manualLayout>
          <c:layoutTarget val="inner"/>
          <c:xMode val="edge"/>
          <c:yMode val="edge"/>
          <c:wMode val="factor"/>
          <c:hMode val="factor"/>
          <c:x val="0.066370"/>
          <c:y val="0.123710"/>
          <c:w val="0.763270"/>
          <c:h val="0.565530"/>
        </c:manualLayout>
      </c:layout>
      <c:barChart>
        <c:barDir val="col"/>
        <c:grouping val="standard"/>
        <c:varyColors val="0"/>
        <c:ser>
          <c:idx val="0"/>
          <c:order val="0"/>
          <c:tx>
            <c:strRef>
              <c:f>Лист1!$B$30</c:f>
              <c:strCache>
                <c:ptCount val="1"/>
                <c:pt idx="0">
                  <c:v>2024</c:v>
                </c:pt>
              </c:strCache>
            </c:strRef>
          </c:tx>
          <c:spPr bwMode="auto">
            <a:prstGeom prst="rect">
              <a:avLst/>
            </a:prstGeom>
            <a:solidFill>
              <a:srgbClr val="004586"/>
            </a:solidFill>
            <a:ln w="12700">
              <a:solidFill>
                <a:srgbClr val="000000"/>
              </a:solidFill>
              <a:prstDash val="solid"/>
            </a:ln>
          </c:spPr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txPr>
              <a:bodyPr/>
              <a:p>
                <a:pPr>
                  <a:defRPr b="1"/>
                </a:pPr>
                <a:endParaRPr/>
              </a:p>
            </c:txPr>
          </c:dLbls>
          <c:cat>
            <c:strRef>
              <c:f>Лист1!$A$31:$A$40</c:f>
              <c:strCache>
                <c:ptCount val="10"/>
                <c:pt idx="0">
                  <c:v>г.Пермь</c:v>
                </c:pt>
                <c:pt idx="1">
                  <c:v>Дзержинский</c:v>
                </c:pt>
                <c:pt idx="2">
                  <c:v>Индустриальный</c:v>
                </c:pt>
                <c:pt idx="3">
                  <c:v>Кировский</c:v>
                </c:pt>
                <c:pt idx="4">
                  <c:v>Ленинский</c:v>
                </c:pt>
                <c:pt idx="5">
                  <c:v>Мотовилихинский</c:v>
                </c:pt>
                <c:pt idx="6">
                  <c:v>Свердловский</c:v>
                </c:pt>
                <c:pt idx="7">
                  <c:v>Орджоникидзевский</c:v>
                </c:pt>
              </c:strCache>
            </c:strRef>
          </c:cat>
          <c:val>
            <c:numRef>
              <c:f>Лист1!$B$31:$B$40</c:f>
              <c:numCache>
                <c:formatCode>General</c:formatCode>
                <c:ptCount val="10"/>
                <c:pt idx="0" formatCode="General">
                  <c:v>13</c:v>
                </c:pt>
                <c:pt idx="1" formatCode="General">
                  <c:v>2</c:v>
                </c:pt>
                <c:pt idx="2" formatCode="#,##0_ ;\-#,##0\ ">
                  <c:v>3</c:v>
                </c:pt>
                <c:pt idx="3" formatCode="General">
                  <c:v>1</c:v>
                </c:pt>
                <c:pt idx="4" formatCode="#,##0_ ;\-#,##0\ ">
                  <c:v>0</c:v>
                </c:pt>
                <c:pt idx="5" formatCode="_-* #,##0_р_._-;\-* #,##0_р_._-;_-* \-??_р_._-;_-@_-">
                  <c:v>3</c:v>
                </c:pt>
                <c:pt idx="6" formatCode="General">
                  <c:v>2</c:v>
                </c:pt>
                <c:pt idx="7" formatCode="General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Лист1!$C$30</c:f>
              <c:strCache>
                <c:ptCount val="1"/>
                <c:pt idx="0">
                  <c:v>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420E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Pr>
                <a:bodyPr rot="0" vert="horz"/>
                <a:lstStyle/>
                <a:p>
                  <a:pPr>
                    <a:defRPr sz="1200" b="1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/>
                </a:p>
              </c:txPr>
            </c:dLbl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txPr>
              <a:bodyPr/>
              <a:p>
                <a:pPr>
                  <a:defRPr sz="1200" b="1">
                    <a:latin typeface="Times New Roman"/>
                    <a:ea typeface="Times New Roman"/>
                    <a:cs typeface="Times New Roman"/>
                  </a:defRPr>
                </a:pPr>
                <a:endParaRPr/>
              </a:p>
            </c:txPr>
          </c:dLbls>
          <c:cat>
            <c:strRef>
              <c:f>Лист1!$A$31:$A$40</c:f>
              <c:strCache>
                <c:ptCount val="10"/>
                <c:pt idx="0">
                  <c:v>г.Пермь</c:v>
                </c:pt>
                <c:pt idx="1">
                  <c:v>Дзержинский</c:v>
                </c:pt>
                <c:pt idx="2">
                  <c:v>Индустриальный</c:v>
                </c:pt>
                <c:pt idx="3">
                  <c:v>Кировский</c:v>
                </c:pt>
                <c:pt idx="4">
                  <c:v>Ленинский</c:v>
                </c:pt>
                <c:pt idx="5">
                  <c:v>Мотовилихинский</c:v>
                </c:pt>
                <c:pt idx="6">
                  <c:v>Свердловский</c:v>
                </c:pt>
                <c:pt idx="7">
                  <c:v>Орджоникидзевский</c:v>
                </c:pt>
              </c:strCache>
            </c:strRef>
          </c:cat>
          <c:val>
            <c:numRef>
              <c:f>Лист1!$C$31:$C$40</c:f>
              <c:numCache>
                <c:formatCode>General</c:formatCode>
                <c:ptCount val="10"/>
                <c:pt idx="0" formatCode="General">
                  <c:v>19</c:v>
                </c:pt>
                <c:pt idx="1" formatCode="General">
                  <c:v>1</c:v>
                </c:pt>
                <c:pt idx="2" formatCode="#,##0_ ;\-#,##0\ ">
                  <c:v>2</c:v>
                </c:pt>
                <c:pt idx="3" formatCode="General">
                  <c:v>5</c:v>
                </c:pt>
                <c:pt idx="4" formatCode="#,##0_ ;\-#,##0\ ">
                  <c:v>2</c:v>
                </c:pt>
                <c:pt idx="5" formatCode="_-* #,##0_р_._-;\-* #,##0_р_._-;_-* \-??_р_._-;_-@_-">
                  <c:v>1</c:v>
                </c:pt>
                <c:pt idx="6" formatCode="General">
                  <c:v>5</c:v>
                </c:pt>
                <c:pt idx="7" formatCode="General">
                  <c:v>3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543"/>
        <c:axId val="1866169544"/>
      </c:barChart>
      <c:catAx>
        <c:axId val="186616954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B3B3B3"/>
            </a:solidFill>
            <a:prstDash val="solid"/>
          </a:ln>
        </c:spPr>
        <c:txPr>
          <a:bodyPr rot="-4560000" vert="horz"/>
          <a:p>
            <a:pPr>
              <a:defRPr sz="1000" b="1" i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544"/>
        <c:crosses val="autoZero"/>
        <c:lblAlgn val="ctr"/>
        <c:lblOffset val="100"/>
        <c:noMultiLvlLbl val="0"/>
      </c:catAx>
      <c:valAx>
        <c:axId val="1866169544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B3B3B3"/>
              </a:solidFill>
              <a:prstDash val="solid"/>
            </a:ln>
          </c:spPr>
        </c:majorGridlines>
        <c:title>
          <c:tx>
            <c:rich>
              <a:bodyPr rot="-5400000" vert="horz"/>
              <a:p>
                <a:pPr>
                  <a:defRPr sz="1200" b="1" i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/>
                  <a:t>количество</a:t>
                </a:r>
                <a:endParaRPr/>
              </a:p>
            </c:rich>
          </c:tx>
          <c:layout>
            <c:manualLayout>
              <c:xMode val="edge"/>
              <c:yMode val="edge"/>
              <c:x val="0.008460"/>
              <c:y val="0.281770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B3B3B3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543"/>
        <c:crosses val="autoZero"/>
        <c:crossBetween val="midCat"/>
      </c:valAx>
      <c:spPr bwMode="auto">
        <a:prstGeom prst="rect">
          <a:avLst/>
        </a:prstGeom>
        <a:noFill/>
        <a:ln w="3175">
          <a:solidFill>
            <a:srgbClr val="B3B3B3"/>
          </a:solidFill>
          <a:prstDash val="solid"/>
        </a:ln>
      </c:spPr>
    </c:plotArea>
    <c:legend>
      <c:layout>
        <c:manualLayout>
          <c:xMode val="edge"/>
          <c:yMode val="edge"/>
          <c:wMode val="edge"/>
          <c:hMode val="edge"/>
          <c:x val="0.833570"/>
          <c:y val="0.397050"/>
          <c:w val="0.911800"/>
          <c:h val="0.477940"/>
        </c:manualLayout>
      </c:layout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900" b="0" i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6849366" cy="4574204"/>
    </a:xfrm>
    <a:prstGeom prst="rect">
      <a:avLst/>
    </a:prstGeom>
    <a:solidFill>
      <a:srgbClr val="FFFFFF"/>
    </a:solidFill>
    <a:ln w="3175">
      <a:noFill/>
    </a:ln>
  </c:spPr>
  <c:txPr>
    <a:bodyPr rot="0" vert="horz"/>
    <a:lstStyle/>
    <a:p>
      <a:pPr>
        <a:defRPr sz="1000" b="0" i="0">
          <a:solidFill>
            <a:srgbClr val="000000"/>
          </a:solidFill>
          <a:latin typeface="Arial Cyr"/>
          <a:ea typeface="Arial Cyr"/>
          <a:cs typeface="Arial Cyr"/>
        </a:defRPr>
      </a:pPr>
      <a:endParaRPr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vert="horz"/>
          <a:p>
            <a:pPr>
              <a:defRPr sz="1200" b="0" i="1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/>
              <a:t>Количество травмированных на 10 тысяч , ед.</a:t>
            </a:r>
            <a:br>
              <a:rPr/>
            </a:br>
            <a:r>
              <a:rPr/>
              <a:t>г. Пермь, за 3 месяца 2025 года</a:t>
            </a:r>
            <a:endParaRPr/>
          </a:p>
        </c:rich>
      </c:tx>
      <c:layout>
        <c:manualLayout>
          <c:xMode val="edge"/>
          <c:yMode val="edge"/>
          <c:x val="0.307880"/>
          <c:y val="0.033380"/>
        </c:manualLayout>
      </c:layout>
      <c:overlay val="0"/>
      <c:spPr bwMode="auto">
        <a:prstGeom prst="rect">
          <a:avLst/>
        </a:prstGeom>
        <a:solidFill>
          <a:srgbClr val="9999FF"/>
        </a:solidFill>
        <a:ln w="3175">
          <a:noFill/>
        </a:ln>
      </c:spPr>
    </c:title>
    <c:view3D>
      <c:rotX val="45"/>
      <c:hPercent val="50"/>
      <c:depthPercent val="100"/>
      <c:rAngAx val="0"/>
      <c:perspective val="0"/>
    </c:view3D>
    <c:floor>
      <c:spPr bwMode="auto">
        <a:prstGeom prst="rect">
          <a:avLst/>
        </a:prstGeom>
        <a:solidFill>
          <a:srgbClr val="C0C0C0"/>
        </a:solidFill>
      </c:spPr>
    </c:floor>
    <c:sideWall>
      <c:spPr bwMode="auto">
        <a:prstGeom prst="rect">
          <a:avLst/>
        </a:prstGeom>
        <a:noFill/>
      </c:spPr>
    </c:sideWall>
    <c:backWall>
      <c:spPr bwMode="auto">
        <a:prstGeom prst="rect">
          <a:avLst/>
        </a:prstGeom>
        <a:noFill/>
      </c:spPr>
    </c:backWall>
    <c:plotArea>
      <c:layout>
        <c:manualLayout>
          <c:layoutTarget val="inner"/>
          <c:xMode val="edge"/>
          <c:yMode val="edge"/>
          <c:wMode val="factor"/>
          <c:hMode val="factor"/>
          <c:x val="0.131720"/>
          <c:y val="0.169740"/>
          <c:w val="0.805810"/>
          <c:h val="0.500000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Лист1!$B$52</c:f>
              <c:strCache>
                <c:ptCount val="1"/>
                <c:pt idx="0">
                  <c:v>2024</c:v>
                </c:pt>
              </c:strCache>
            </c:strRef>
          </c:tx>
          <c:spPr bwMode="auto">
            <a:prstGeom prst="rect">
              <a:avLst/>
            </a:prstGeom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>Лист1!$A$53:$A$60</c:f>
              <c:strCache>
                <c:ptCount val="8"/>
                <c:pt idx="0">
                  <c:v>г.Пермь</c:v>
                </c:pt>
                <c:pt idx="1">
                  <c:v>Дзержинский</c:v>
                </c:pt>
                <c:pt idx="2">
                  <c:v>Индустриальный</c:v>
                </c:pt>
                <c:pt idx="3">
                  <c:v>Кировский</c:v>
                </c:pt>
                <c:pt idx="4">
                  <c:v>Ленинский</c:v>
                </c:pt>
                <c:pt idx="5">
                  <c:v>Мотовилихинский</c:v>
                </c:pt>
                <c:pt idx="6">
                  <c:v>Свердловский</c:v>
                </c:pt>
                <c:pt idx="7">
                  <c:v>Орджоникидзевский</c:v>
                </c:pt>
              </c:strCache>
            </c:strRef>
          </c:cat>
          <c:val>
            <c:numRef>
              <c:f>Лист1!$B$53:$B$60</c:f>
              <c:numCache>
                <c:formatCode>General</c:formatCode>
                <c:ptCount val="8"/>
                <c:pt idx="0">
                  <c:v>0.18</c:v>
                </c:pt>
                <c:pt idx="1">
                  <c:v>0.06</c:v>
                </c:pt>
                <c:pt idx="2">
                  <c:v>0.12</c:v>
                </c:pt>
                <c:pt idx="3">
                  <c:v>0.38</c:v>
                </c:pt>
                <c:pt idx="4">
                  <c:v>0.36</c:v>
                </c:pt>
                <c:pt idx="5">
                  <c:v>0.05</c:v>
                </c:pt>
                <c:pt idx="6">
                  <c:v>0.23</c:v>
                </c:pt>
                <c:pt idx="7">
                  <c:v>0.26</c:v>
                </c:pt>
              </c:numCache>
            </c:numRef>
          </c:val>
          <c:shape val="coneToMax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0"/>
        <c:axId val="1866169527"/>
        <c:axId val="1866169528"/>
        <c:axId val="1866169529"/>
      </c:bar3DChart>
      <c:catAx>
        <c:axId val="18661695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 bwMode="auto"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-2820000" vert="horz"/>
          <a:p>
            <a:pPr>
              <a:defRPr sz="1150" b="0" i="1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528"/>
        <c:crosses val="autoZero"/>
        <c:lblAlgn val="ctr"/>
        <c:lblOffset val="100"/>
        <c:noMultiLvlLbl val="0"/>
      </c:catAx>
      <c:valAx>
        <c:axId val="1866169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one"/>
        <c:spPr bwMode="auto">
          <a:prstGeom prst="rect">
            <a:avLst/>
          </a:prstGeom>
          <a:ln w="3175">
            <a:noFill/>
          </a:ln>
        </c:spPr>
        <c:crossAx val="1866169527"/>
        <c:crosses val="autoZero"/>
        <c:crossBetween val="midCat"/>
      </c:valAx>
      <c:serAx>
        <c:axId val="186616952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 bwMode="auto"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p>
            <a:pPr>
              <a:defRPr sz="1050" b="0" i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528"/>
        <c:crosses val="autoZero"/>
      </c:serAx>
    </c:plotArea>
    <c:plotVisOnly val="1"/>
    <c:dispBlanksAs val="gap"/>
    <c:showDLblsOverMax val="0"/>
  </c:chart>
  <c:spPr bwMode="auto">
    <a:xfrm>
      <a:off x="0" y="0"/>
      <a:ext cx="6905624" cy="3826398"/>
    </a:xfrm>
    <a:prstGeom prst="rect">
      <a:avLst/>
    </a:prstGeom>
    <a:solidFill>
      <a:srgbClr val="FFFFFF"/>
    </a:solidFill>
    <a:ln w="3175">
      <a:solidFill>
        <a:srgbClr val="000000"/>
      </a:solidFill>
      <a:prstDash val="solid"/>
    </a:ln>
  </c:spPr>
  <c:txPr>
    <a:bodyPr rot="0" vert="horz"/>
    <a:lstStyle/>
    <a:p>
      <a:pPr>
        <a:defRPr sz="1050" b="0" i="0">
          <a:solidFill>
            <a:srgbClr val="000000"/>
          </a:solidFill>
          <a:latin typeface="Arial"/>
          <a:ea typeface="Arial"/>
          <a:cs typeface="Arial"/>
        </a:defRPr>
      </a:pPr>
      <a:endParaRPr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vert="horz"/>
          <a:p>
            <a:pPr>
              <a:defRPr/>
            </a:pPr>
            <a:r>
              <a:rPr b="1">
                <a:latin typeface="Times New Roman"/>
                <a:ea typeface="Times New Roman"/>
                <a:cs typeface="Times New Roman"/>
              </a:rPr>
              <a:t>Основные объекты пожаров по г. Перми,</a:t>
            </a:r>
            <a:br>
              <a:rPr b="1">
                <a:latin typeface="Times New Roman"/>
                <a:ea typeface="Times New Roman"/>
                <a:cs typeface="Times New Roman"/>
              </a:rPr>
            </a:br>
            <a:r>
              <a:rPr b="1">
                <a:latin typeface="Times New Roman"/>
                <a:ea typeface="Times New Roman"/>
                <a:cs typeface="Times New Roman"/>
              </a:rPr>
              <a:t> за 3 месяца  2025 г.</a:t>
            </a:r>
            <a:endParaRPr b="1"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166390"/>
          <c:y val="0.039450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view3D>
      <c:rotX val="30"/>
      <c:rotY val="0"/>
      <c:depthPercent val="100"/>
      <c:rAngAx val="0"/>
    </c:view3D>
    <c:floor>
      <c:spPr bwMode="auto">
        <a:prstGeom prst="rect">
          <a:avLst/>
        </a:prstGeom>
        <a:noFill/>
        <a:ln>
          <a:noFill/>
        </a:ln>
      </c:spPr>
    </c:floor>
    <c:sideWall>
      <c:spPr bwMode="auto">
        <a:prstGeom prst="rect">
          <a:avLst/>
        </a:prstGeom>
        <a:noFill/>
        <a:ln>
          <a:noFill/>
        </a:ln>
      </c:spPr>
    </c:sideWall>
    <c:backWall>
      <c:spPr bwMode="auto">
        <a:prstGeom prst="rect">
          <a:avLst/>
        </a:prstGeom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wMode val="factor"/>
          <c:hMode val="factor"/>
          <c:x val="0.012600"/>
          <c:y val="0.393280"/>
          <c:w val="0.519730"/>
          <c:h val="0.284050"/>
        </c:manualLayout>
      </c:layout>
      <c:pie3DChart>
        <c:varyColors val="1"/>
        <c:ser>
          <c:idx val="0"/>
          <c:order val="0"/>
          <c:tx>
            <c:strRef>
              <c:f>Лист1!$B$30</c:f>
              <c:strCache>
                <c:ptCount val="1"/>
                <c:pt idx="0">
                  <c:v>2025</c:v>
                </c:pt>
              </c:strCache>
            </c:strRef>
          </c:tx>
          <c:explosion val="25"/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showBubbleSize val="0"/>
            <c:showCatName val="0"/>
            <c:showLeaderLines val="1"/>
            <c:showLegendKey val="0"/>
            <c:showPercent val="0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Лист1!$A$31:$A$35</c:f>
              <c:strCache>
                <c:ptCount val="5"/>
                <c:pt idx="0">
                  <c:v xml:space="preserve">Жилой сектор</c:v>
                </c:pt>
                <c:pt idx="1">
                  <c:v>Транспорт</c:v>
                </c:pt>
                <c:pt idx="2">
                  <c:v xml:space="preserve">Места открытого хранения веществ</c:v>
                </c:pt>
                <c:pt idx="3">
                  <c:v xml:space="preserve">Неэксплуатируемые здания</c:v>
                </c:pt>
                <c:pt idx="4">
                  <c:v xml:space="preserve">Здания, помещения производственного назначения</c:v>
                </c:pt>
              </c:strCache>
            </c:strRef>
          </c:cat>
          <c:val>
            <c:numRef>
              <c:f>Лист1!$B$31:$B$35</c:f>
              <c:numCache>
                <c:formatCode>General</c:formatCode>
                <c:ptCount val="5"/>
                <c:pt idx="0">
                  <c:v>100</c:v>
                </c:pt>
                <c:pt idx="1">
                  <c:v>14</c:v>
                </c:pt>
                <c:pt idx="2">
                  <c:v>27</c:v>
                </c:pt>
                <c:pt idx="3">
                  <c:v>21</c:v>
                </c:pt>
                <c:pt idx="4">
                  <c:v>3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</c:pie3DChart>
      <c:spPr bwMode="auto">
        <a:prstGeom prst="rect">
          <a:avLst/>
        </a:prstGeom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479390"/>
          <c:y val="0.285090"/>
          <c:w val="0.384750"/>
          <c:h val="0.69563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zero"/>
    <c:showDLblsOverMax val="0"/>
  </c:chart>
  <c:spPr bwMode="auto">
    <a:xfrm>
      <a:off x="0" y="0"/>
      <a:ext cx="4514872" cy="370828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 rot="0" vert="horz"/>
    <a:lstStyle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vert="horz"/>
          <a:p>
            <a:pPr>
              <a:defRPr>
                <a:latin typeface="Times New Roman"/>
                <a:ea typeface="Times New Roman"/>
                <a:cs typeface="Times New Roman"/>
              </a:defRPr>
            </a:pPr>
            <a:r>
              <a:rPr b="1">
                <a:latin typeface="Times New Roman"/>
                <a:ea typeface="Times New Roman"/>
                <a:cs typeface="Times New Roman"/>
              </a:rPr>
              <a:t>Основные объекты пожаров по г. Перми,</a:t>
            </a:r>
            <a:br>
              <a:rPr b="1">
                <a:latin typeface="Times New Roman"/>
                <a:ea typeface="Times New Roman"/>
                <a:cs typeface="Times New Roman"/>
              </a:rPr>
            </a:br>
            <a:r>
              <a:rPr b="1">
                <a:latin typeface="Times New Roman"/>
                <a:ea typeface="Times New Roman"/>
                <a:cs typeface="Times New Roman"/>
              </a:rPr>
              <a:t>за 3 месяца  2024 г.</a:t>
            </a:r>
            <a:endParaRPr b="1"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190120"/>
          <c:y val="0.041870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Times New Roman"/>
              <a:cs typeface="Times New Roman"/>
            </a:defRPr>
          </a:pPr>
          <a:endParaRPr/>
        </a:p>
      </c:txPr>
    </c:title>
    <c:view3D>
      <c:rotX val="30"/>
      <c:rotY val="0"/>
      <c:depthPercent val="100"/>
      <c:rAngAx val="0"/>
    </c:view3D>
    <c:floor>
      <c:spPr bwMode="auto">
        <a:prstGeom prst="rect">
          <a:avLst/>
        </a:prstGeom>
        <a:noFill/>
        <a:ln>
          <a:noFill/>
        </a:ln>
      </c:spPr>
    </c:floor>
    <c:sideWall>
      <c:spPr bwMode="auto">
        <a:prstGeom prst="rect">
          <a:avLst/>
        </a:prstGeom>
        <a:noFill/>
        <a:ln>
          <a:noFill/>
        </a:ln>
      </c:spPr>
    </c:sideWall>
    <c:backWall>
      <c:spPr bwMode="auto">
        <a:prstGeom prst="rect">
          <a:avLst/>
        </a:prstGeom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wMode val="factor"/>
          <c:hMode val="factor"/>
          <c:x val="0.018480"/>
          <c:y val="0.374150"/>
          <c:w val="0.586920"/>
          <c:h val="0.339800"/>
        </c:manualLayout>
      </c:layout>
      <c:pie3DChart>
        <c:varyColors val="1"/>
        <c:ser>
          <c:idx val="0"/>
          <c:order val="0"/>
          <c:tx>
            <c:strRef>
              <c:f>Лист1!$B$37</c:f>
              <c:strCache>
                <c:ptCount val="1"/>
                <c:pt idx="0">
                  <c:v>2024</c:v>
                </c:pt>
              </c:strCache>
            </c:strRef>
          </c:tx>
          <c:explosion val="25"/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showBubbleSize val="0"/>
            <c:showCatName val="0"/>
            <c:showLeaderLines val="1"/>
            <c:showLegendKey val="0"/>
            <c:showPercent val="0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Лист1!$A$38:$A$42</c:f>
              <c:strCache>
                <c:ptCount val="5"/>
                <c:pt idx="0">
                  <c:v xml:space="preserve">Жилой сектор</c:v>
                </c:pt>
                <c:pt idx="1">
                  <c:v>Транспорт</c:v>
                </c:pt>
                <c:pt idx="2">
                  <c:v xml:space="preserve">Места открытого хранения веществ</c:v>
                </c:pt>
                <c:pt idx="3">
                  <c:v xml:space="preserve">Неэксплуатируемые здания</c:v>
                </c:pt>
                <c:pt idx="4">
                  <c:v xml:space="preserve">Здания, помещения производственного назначения</c:v>
                </c:pt>
              </c:strCache>
            </c:strRef>
          </c:cat>
          <c:val>
            <c:numRef>
              <c:f>Лист1!$B$38:$B$42</c:f>
              <c:numCache>
                <c:formatCode>General</c:formatCode>
                <c:ptCount val="5"/>
                <c:pt idx="0">
                  <c:v>139</c:v>
                </c:pt>
                <c:pt idx="1">
                  <c:v>18</c:v>
                </c:pt>
                <c:pt idx="2">
                  <c:v>33</c:v>
                </c:pt>
                <c:pt idx="3">
                  <c:v>13</c:v>
                </c:pt>
                <c:pt idx="4">
                  <c:v>8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</c:pie3DChart>
      <c:spPr bwMode="auto">
        <a:prstGeom prst="rect">
          <a:avLst/>
        </a:prstGeom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529570"/>
          <c:y val="0.281330"/>
          <c:w val="0.358050"/>
          <c:h val="0.69675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zero"/>
    <c:showDLblsOverMax val="0"/>
  </c:chart>
  <c:spPr bwMode="auto">
    <a:xfrm>
      <a:off x="0" y="0"/>
      <a:ext cx="4886830" cy="370828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 rot="0" vert="horz"/>
    <a:lstStyle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vert="horz"/>
          <a:p>
            <a:pPr>
              <a:defRPr sz="1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sz="140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rPr>
              <a:t>Причины пожаров в городе Перми за  3 месяца 2025 год</a:t>
            </a:r>
            <a:r>
              <a:rPr sz="160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rPr>
              <a:t>а</a:t>
            </a:r>
            <a:endParaRPr sz="1600">
              <a:solidFill>
                <a:srgbClr val="000000"/>
              </a:solidFill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202360"/>
          <c:y val="0.031880"/>
        </c:manualLayout>
      </c:layout>
      <c:overlay val="0"/>
      <c:txPr>
        <a:bodyPr/>
        <a:p>
          <a:pPr>
            <a:defRPr sz="160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/>
        </a:p>
      </c:txPr>
    </c:title>
    <c:plotArea>
      <c:layout>
        <c:manualLayout>
          <c:layoutTarget val="inner"/>
          <c:xMode val="edge"/>
          <c:yMode val="edge"/>
          <c:wMode val="factor"/>
          <c:hMode val="factor"/>
          <c:x val="0.346820"/>
          <c:y val="0.334910"/>
          <c:w val="0.306350"/>
          <c:h val="0.418640"/>
        </c:manualLayout>
      </c:layout>
      <c:pieChart>
        <c:varyColors val="1"/>
        <c:ser>
          <c:idx val="1"/>
          <c:order val="0"/>
          <c:tx>
            <c:strRef>
              <c:f>Лист1!$C$30</c:f>
              <c:strCache>
                <c:ptCount val="1"/>
                <c:pt idx="0">
                  <c:v>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8"/>
            <c:marker>
              <c:symbol val="diamond"/>
              <c:size val="5"/>
              <c:spPr bwMode="auto">
                <a:prstGeom prst="rect">
                  <a:avLst/>
                </a:prstGeom>
                <a:solidFill>
                  <a:srgbClr val="FF00FF"/>
                </a:solidFill>
                <a:ln/>
              </c:spPr>
            </c:marker>
            <c:explosion val="25"/>
            <c:spPr bwMode="auto">
              <a:prstGeom prst="rect">
                <a:avLst/>
              </a:prstGeom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howBubbleSize val="0"/>
            <c:showCatName val="1"/>
            <c:showLeaderLines val="1"/>
            <c:showLegendKey val="0"/>
            <c:showPercent val="1"/>
            <c:showSerName val="0"/>
            <c:showVal val="0"/>
            <c:txPr>
              <a:bodyPr/>
              <a:p>
                <a:pPr>
                  <a:defRPr sz="1100">
                    <a:latin typeface="Times New Roman"/>
                    <a:ea typeface="Times New Roman"/>
                    <a:cs typeface="Times New Roman"/>
                  </a:defRPr>
                </a:pPr>
                <a:endParaRPr/>
              </a:p>
            </c:txPr>
          </c:dLbls>
          <c:cat>
            <c:strRef>
              <c:f>Лист1!$A$31:$A$39</c:f>
              <c:strCache>
                <c:ptCount val="9"/>
                <c:pt idx="0">
                  <c:v xml:space="preserve">Неосторожное обращение с огнем</c:v>
                </c:pt>
                <c:pt idx="1">
                  <c:v>Поджог</c:v>
                </c:pt>
                <c:pt idx="2">
                  <c:v xml:space="preserve">НПУ и Э электрооборудования</c:v>
                </c:pt>
                <c:pt idx="3">
                  <c:v xml:space="preserve">НПУ и Э печей</c:v>
                </c:pt>
              </c:strCache>
            </c:strRef>
          </c:cat>
          <c:val>
            <c:numRef>
              <c:f>Лист1!$C$31:$C$39</c:f>
              <c:numCache>
                <c:formatCode>General</c:formatCode>
                <c:ptCount val="9"/>
                <c:pt idx="0" formatCode="General">
                  <c:v>99</c:v>
                </c:pt>
                <c:pt idx="1" formatCode="General">
                  <c:v>23</c:v>
                </c:pt>
                <c:pt idx="2" formatCode="_-* #,##0_р_._-;\-* #,##0_р_._-;_-* \-??_р_._-;_-@_-">
                  <c:v>67</c:v>
                </c:pt>
                <c:pt idx="3" formatCode="General">
                  <c:v>16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</c:pieChart>
    </c:plotArea>
    <c:plotVisOnly val="1"/>
    <c:dispBlanksAs val="zero"/>
    <c:showDLblsOverMax val="0"/>
  </c:chart>
  <c:spPr bwMode="auto">
    <a:xfrm>
      <a:off x="0" y="0"/>
      <a:ext cx="4689497" cy="3800111"/>
    </a:xfrm>
    <a:prstGeom prst="rect">
      <a:avLst/>
    </a:prstGeom>
    <a:gradFill rotWithShape="0">
      <a:gsLst>
        <a:gs pos="0">
          <a:srgbClr val="CCE0F5"/>
        </a:gs>
        <a:gs pos="100000">
          <a:srgbClr val="0066CC"/>
        </a:gs>
      </a:gsLst>
      <a:lin ang="5400000" scaled="1"/>
    </a:gradFill>
    <a:ln w="3175">
      <a:solidFill>
        <a:srgbClr val="00000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Arial"/>
          <a:ea typeface="Arial"/>
          <a:cs typeface="Arial"/>
        </a:defRPr>
      </a:pPr>
      <a:endParaRPr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Разинская Елизавета Владимировна</dc:creator>
  <cp:revision>59</cp:revision>
  <dcterms:created xsi:type="dcterms:W3CDTF">2022-06-17T10:36:00Z</dcterms:created>
  <dcterms:modified xsi:type="dcterms:W3CDTF">2025-04-07T10:50:08Z</dcterms:modified>
  <cp:version>786432</cp:version>
</cp:coreProperties>
</file>