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10.xml" ContentType="application/vnd.openxmlformats-officedocument.drawingml.chart+xml"/>
  <Override PartName="/word/charts/chart9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пожарной безопасности на территории города Перми за 6 месяцев 2026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официального статистического учета 1 ОНДиПР по городу Перми УНДиПР ГУ МЧС России по Пермскому краю на территории города Перми за 6 месяцев 2026 года наблюдается снижение зарегистрированных пожаров* на 3,39% (2026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599; АППГ – 620).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ind w:right="0" w:firstLine="1560"/>
        <w:jc w:val="center"/>
        <w:spacing w:before="0" w:after="0" w:line="204" w:lineRule="auto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drawing>
          <wp:inline distT="0" distB="0" distL="0" distR="0">
            <wp:extent cx="6262104" cy="3550257"/>
            <wp:effectExtent l="1587" t="1587" r="1587" b="1587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/>
      <w:r/>
      <w:r/>
      <w:r>
        <w:rPr>
          <w:szCs w:val="28"/>
        </w:rPr>
      </w:r>
      <w:r>
        <w:rPr>
          <w:szCs w:val="28"/>
        </w:rPr>
      </w:r>
    </w:p>
    <w:p>
      <w:pPr>
        <w:pStyle w:val="854"/>
        <w:ind w:right="0" w:firstLine="1560"/>
        <w:jc w:val="center"/>
        <w:spacing w:before="0" w:after="0" w:line="204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4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2-х районах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 произошел рост количества пожаров: </w:t>
      </w:r>
      <w:r>
        <w:rPr>
          <w:rFonts w:ascii="Times New Roman" w:hAnsi="Times New Roman" w:cs="Times New Roman"/>
          <w:sz w:val="28"/>
          <w:szCs w:val="28"/>
        </w:rPr>
        <w:t xml:space="preserve">на 21,8% в </w:t>
      </w:r>
      <w:r>
        <w:rPr>
          <w:rFonts w:ascii="Times New Roman" w:hAnsi="Times New Roman" w:cs="Times New Roman"/>
          <w:sz w:val="28"/>
          <w:szCs w:val="28"/>
        </w:rPr>
        <w:t xml:space="preserve">Мотовилихинском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8,2% в Орджоникидзевском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5-х районах города Перми зарегистрировано снижение количества пожаров: на 6% в Дзержинском, на 10,1% в Индустриальном, </w:t>
      </w:r>
      <w:r>
        <w:rPr>
          <w:rFonts w:ascii="Times New Roman" w:hAnsi="Times New Roman" w:cs="Times New Roman"/>
          <w:sz w:val="28"/>
          <w:szCs w:val="28"/>
        </w:rPr>
        <w:t xml:space="preserve">на 23,1% в Ленинском,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и на 20%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Свердловском районе (пос. Новые Ляды).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Кировском районе показатель остался на уровне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*Пожар - неконтролируемое горение, причиняющее материальный ущерб, вред жизни и здоровью личному составу, населению, интересам общества и государства (нарастающий итог с начала года)</w:t>
      </w:r>
      <w:r/>
    </w:p>
    <w:p>
      <w:pPr>
        <w:pStyle w:val="854"/>
        <w:ind w:right="0" w:firstLine="709"/>
        <w:jc w:val="both"/>
        <w:spacing w:before="0" w:after="0" w:line="240" w:lineRule="auto"/>
      </w:pPr>
      <w:r/>
      <w:r/>
    </w:p>
    <w:p>
      <w:pPr>
        <w:pStyle w:val="854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1367"/>
        <w:jc w:val="center"/>
        <w:spacing w:before="0" w:after="0" w:line="204" w:lineRule="auto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  <w:r>
        <w:drawing>
          <wp:inline distT="0" distB="0" distL="0" distR="0">
            <wp:extent cx="8731101" cy="3486864"/>
            <wp:effectExtent l="1587" t="1587" r="1587" b="1587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/>
      <w:r>
        <w:rPr>
          <w:rFonts w:ascii="Times New Roman" w:hAnsi="Times New Roman" w:cs="Times New Roman"/>
          <w:sz w:val="24"/>
          <w:szCs w:val="24"/>
        </w:rPr>
      </w:r>
      <w:r/>
      <w:r>
        <w:rPr>
          <w:szCs w:val="24"/>
        </w:rPr>
      </w:r>
      <w:r>
        <w:rPr>
          <w:szCs w:val="24"/>
        </w:rPr>
      </w:r>
    </w:p>
    <w:p>
      <w:pPr>
        <w:pStyle w:val="854"/>
        <w:ind w:right="0" w:firstLine="1367"/>
        <w:jc w:val="center"/>
        <w:spacing w:before="0" w:after="0" w:line="204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4"/>
        <w:ind w:right="0" w:firstLine="1367"/>
        <w:jc w:val="both"/>
        <w:spacing w:before="0" w:after="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right="0" w:firstLine="1367"/>
        <w:jc w:val="both"/>
        <w:spacing w:before="0" w:after="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right="0" w:firstLine="1367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Анализир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уя </w:t>
      </w:r>
      <w:r>
        <w:rPr>
          <w:rFonts w:ascii="Times New Roman" w:hAnsi="Times New Roman" w:cs="Times New Roman"/>
          <w:sz w:val="28"/>
          <w:szCs w:val="28"/>
        </w:rPr>
        <w:t xml:space="preserve">ситуацию с пожарами, следует отметить, что реальная статистика отражается при оце</w:t>
      </w:r>
      <w:r>
        <w:rPr>
          <w:rFonts w:ascii="Times New Roman" w:hAnsi="Times New Roman" w:cs="Times New Roman"/>
          <w:sz w:val="28"/>
          <w:szCs w:val="28"/>
        </w:rPr>
        <w:t xml:space="preserve">нке количества пожаров на 10 тыс</w:t>
      </w:r>
      <w:r>
        <w:rPr>
          <w:rFonts w:ascii="Times New Roman" w:hAnsi="Times New Roman" w:cs="Times New Roman"/>
          <w:sz w:val="28"/>
          <w:szCs w:val="28"/>
        </w:rPr>
        <w:t xml:space="preserve">яч населения. За 6 месяцев 2026 года количество пожаров на 10 тысяч населения составило 5,83. При этом снижен данный показатель в 4-х районах города Перми: </w:t>
      </w:r>
      <w:r>
        <w:rPr>
          <w:rFonts w:ascii="Times New Roman" w:hAnsi="Times New Roman" w:cs="Times New Roman"/>
          <w:sz w:val="28"/>
          <w:szCs w:val="28"/>
        </w:rPr>
        <w:t xml:space="preserve">на 22% в Дзержинском, </w:t>
      </w:r>
      <w:r>
        <w:rPr>
          <w:rFonts w:ascii="Times New Roman" w:hAnsi="Times New Roman" w:cs="Times New Roman"/>
          <w:sz w:val="28"/>
          <w:szCs w:val="28"/>
        </w:rPr>
        <w:t xml:space="preserve">на 18,5% в Индустриальном, </w:t>
      </w:r>
      <w:r>
        <w:rPr>
          <w:rFonts w:ascii="Times New Roman" w:hAnsi="Times New Roman" w:cs="Times New Roman"/>
          <w:sz w:val="28"/>
          <w:szCs w:val="28"/>
        </w:rPr>
        <w:t xml:space="preserve">на 10,1% в Свердловском районе (пос. Новые Ляды)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54"/>
        <w:ind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Рост показателя произошел в следующих районах города Перми: </w:t>
      </w:r>
      <w:r>
        <w:rPr>
          <w:rFonts w:ascii="Times New Roman" w:hAnsi="Times New Roman" w:cs="Times New Roman"/>
          <w:sz w:val="28"/>
          <w:szCs w:val="28"/>
        </w:rPr>
        <w:t xml:space="preserve">на 14,2% Кировском, </w:t>
      </w:r>
      <w:r>
        <w:rPr>
          <w:rFonts w:ascii="Times New Roman" w:hAnsi="Times New Roman" w:cs="Times New Roman"/>
          <w:sz w:val="28"/>
          <w:szCs w:val="28"/>
        </w:rPr>
        <w:t xml:space="preserve">на 14,4% в Ленинском, </w:t>
      </w:r>
      <w:r>
        <w:rPr>
          <w:rFonts w:ascii="Times New Roman" w:hAnsi="Times New Roman" w:cs="Times New Roman"/>
          <w:sz w:val="28"/>
          <w:szCs w:val="28"/>
        </w:rPr>
        <w:t xml:space="preserve">на 19% в Орджоникидзевском и </w:t>
      </w:r>
      <w:r>
        <w:rPr>
          <w:rFonts w:ascii="Times New Roman" w:hAnsi="Times New Roman" w:cs="Times New Roman"/>
          <w:sz w:val="28"/>
          <w:szCs w:val="28"/>
        </w:rPr>
        <w:t xml:space="preserve">на 24,4% в Мотовилихинском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ind w:right="0"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drawing>
          <wp:inline distT="0" distB="0" distL="0" distR="0">
            <wp:extent cx="7028653" cy="3538556"/>
            <wp:effectExtent l="1587" t="1587" r="1587" b="1587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/>
      <w:r/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по числу погибших на пожарах снизился на 11,8% (2026 – 15; АППГ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17).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Снижение количества погибших зарегистрировано в следующих районах города Перми: на 75% в Ленинском, на 83,3% в Кировском.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4-х районах города Перми наблюдается рост погибших на пожарах: в 3 раза в Индустриальном районе, на 200% в Дзержинском районе, в 2 раза в Мотовилихинском районе,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50%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Орджоникидзевском районе.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по погибшим на пожарах остался на уровне прошлого года в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Свердловском районе (пос. Новые Ляды)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с гибелью людей явились: неосторожное обращение с огнем (11 человек), нарушение правил устройства и эксплуатации (далее – НПУ и Э) НПУ и Э электрооборудования (3 человека) и в результате поджога 1 погибший.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0"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пожаров с гибелью людей являются: жилой сектор – 14 погибших (93,3% от общего числа погибших), складские помещения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 погибший (6,67% от общего числа погибших).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Средний возраст погибшего человека составляет 50 лет. Наибольшее число погибших, это лица женского пола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52,9% от общего количества погибших, лица мужского пола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47,1% от общего количества погибших.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Наибольшее количество погибших людей, это пенсионеры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58,8% от общего количества погибших, дети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11,8%,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работающее население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11,8%, неработающее население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11,8%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5,8%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это лица без определенного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Если проводить анализ по количе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ству погибших на 10000 населения, то можно сделать вывод, что данный показатель снижен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4 районах города Перми: </w:t>
      </w:r>
      <w:r>
        <w:rPr>
          <w:rFonts w:ascii="Times New Roman" w:hAnsi="Times New Roman" w:cs="Times New Roman"/>
          <w:sz w:val="28"/>
          <w:szCs w:val="28"/>
        </w:rPr>
        <w:t xml:space="preserve">на 47% </w:t>
      </w:r>
      <w:r>
        <w:rPr>
          <w:rFonts w:ascii="Times New Roman" w:hAnsi="Times New Roman" w:cs="Times New Roman"/>
          <w:sz w:val="28"/>
          <w:szCs w:val="28"/>
        </w:rPr>
        <w:t xml:space="preserve">в Кировском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/>
      <w:r>
        <w:rPr>
          <w:rFonts w:ascii="Times New Roman" w:hAnsi="Times New Roman" w:cs="Times New Roman"/>
          <w:sz w:val="28"/>
          <w:szCs w:val="28"/>
        </w:rPr>
        <w:t xml:space="preserve"> на 40% в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Свердловском районе (пос. Новые Ляды)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Орджоникидзевском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показателя произошел в следующих районах города Перми: </w:t>
      </w:r>
      <w:r>
        <w:rPr>
          <w:rFonts w:ascii="Times New Roman" w:hAnsi="Times New Roman" w:cs="Times New Roman"/>
          <w:sz w:val="28"/>
          <w:szCs w:val="28"/>
        </w:rPr>
        <w:t xml:space="preserve">на 13,3%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Дзержинско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20%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Индустриальном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47% в Ленинском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Мотовилихинском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drawing>
          <wp:inline distT="0" distB="0" distL="0" distR="0">
            <wp:extent cx="8335163" cy="3924450"/>
            <wp:effectExtent l="1587" t="1587" r="1587" b="1587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терр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рии горо</w:t>
      </w:r>
      <w:r>
        <w:rPr>
          <w:rFonts w:ascii="Times New Roman" w:hAnsi="Times New Roman" w:cs="Times New Roman"/>
          <w:sz w:val="28"/>
          <w:szCs w:val="28"/>
        </w:rPr>
        <w:t xml:space="preserve">да Перми зарегистрирован рост показателя по травмированным </w:t>
      </w:r>
      <w:r>
        <w:rPr>
          <w:rFonts w:ascii="Times New Roman" w:hAnsi="Times New Roman" w:cs="Times New Roman"/>
          <w:sz w:val="28"/>
          <w:szCs w:val="28"/>
        </w:rPr>
        <w:t xml:space="preserve">на пожарах</w:t>
      </w:r>
      <w:r>
        <w:rPr>
          <w:rFonts w:ascii="Times New Roman" w:hAnsi="Times New Roman" w:cs="Times New Roman"/>
          <w:sz w:val="28"/>
          <w:szCs w:val="28"/>
        </w:rPr>
        <w:t xml:space="preserve"> на 15,4% (2026 – 45; АППГ – 39).</w:t>
      </w:r>
      <w:r/>
    </w:p>
    <w:p>
      <w:pPr>
        <w:pStyle w:val="854"/>
        <w:ind w:right="0" w:firstLine="709"/>
        <w:jc w:val="center"/>
        <w:spacing w:before="0" w:after="0" w:line="204" w:lineRule="auto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szCs w:val="28"/>
        </w:rPr>
      </w:pPr>
      <w:r>
        <w:rPr>
          <w:szCs w:val="28"/>
        </w:rPr>
      </w:r>
      <w:r/>
      <w:r>
        <w:rPr>
          <w:szCs w:val="28"/>
        </w:rPr>
      </w:r>
      <w:r>
        <w:drawing>
          <wp:inline distT="0" distB="0" distL="0" distR="0">
            <wp:extent cx="6849367" cy="5016206"/>
            <wp:effectExtent l="1587" t="1587" r="1587" b="1587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szCs w:val="28"/>
        </w:rPr>
      </w:r>
      <w:r>
        <w:rPr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Снижение травмированных на пожарах зарегистрировано в 4 районах города Перми:</w:t>
      </w:r>
      <w:r>
        <w:rPr>
          <w:rFonts w:ascii="Times New Roman" w:hAnsi="Times New Roman" w:cs="Times New Roman"/>
          <w:sz w:val="28"/>
          <w:szCs w:val="28"/>
        </w:rPr>
        <w:t xml:space="preserve"> в 2 раза в Ленинском (нет травмированных),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33,3% в Дзержинском</w:t>
      </w:r>
      <w:r>
        <w:rPr>
          <w:rFonts w:ascii="Times New Roman" w:hAnsi="Times New Roman" w:cs="Times New Roman"/>
          <w:sz w:val="28"/>
          <w:szCs w:val="28"/>
        </w:rPr>
        <w:t xml:space="preserve">, на 42,9% в Кировском, на 66,7% в Орджоникидзевском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травмированных на пожарах наблюдается в 4-х районах города Перми: </w:t>
      </w:r>
      <w:r>
        <w:rPr>
          <w:rFonts w:ascii="Times New Roman" w:hAnsi="Times New Roman" w:cs="Times New Roman"/>
          <w:sz w:val="28"/>
          <w:szCs w:val="28"/>
        </w:rPr>
        <w:t xml:space="preserve">в 2 раза в Индустриальном, на 133,3% в </w:t>
      </w:r>
      <w:r>
        <w:rPr>
          <w:rFonts w:ascii="Times New Roman" w:hAnsi="Times New Roman" w:cs="Times New Roman"/>
          <w:sz w:val="28"/>
          <w:szCs w:val="28"/>
        </w:rPr>
        <w:t xml:space="preserve">Мотовилихинском</w:t>
      </w:r>
      <w:r/>
      <w:r>
        <w:rPr>
          <w:rFonts w:ascii="Times New Roman" w:hAnsi="Times New Roman" w:cs="Times New Roman"/>
          <w:sz w:val="28"/>
          <w:szCs w:val="28"/>
        </w:rPr>
        <w:t xml:space="preserve">, на 80%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Свердловском районе (пос. Новые Ляды)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drawing>
          <wp:inline distT="0" distB="0" distL="0" distR="0">
            <wp:extent cx="8532784" cy="4242673"/>
            <wp:effectExtent l="1587" t="1587" r="1587" b="1587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Если проводи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ть анализ по количеству травмированных на пожарах на 10000 населения, то можно сделать вывод, что данн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показатель превышает среднегородской в следующих районах города Перми: </w:t>
      </w:r>
      <w:r>
        <w:rPr>
          <w:rFonts w:ascii="Times New Roman" w:hAnsi="Times New Roman" w:cs="Times New Roman"/>
          <w:sz w:val="28"/>
          <w:szCs w:val="28"/>
        </w:rPr>
        <w:t xml:space="preserve">на 91% в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Свердловском районе (пос. Новые Ляды),</w:t>
      </w:r>
      <w:r/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72,7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в Мотовилихинском.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 данный показатель в 4-х районах города Перми: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27,3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 в Дзержинском, на </w:t>
      </w:r>
      <w:r>
        <w:rPr>
          <w:rFonts w:ascii="Times New Roman" w:hAnsi="Times New Roman" w:cs="Times New Roman"/>
          <w:sz w:val="28"/>
          <w:szCs w:val="28"/>
        </w:rPr>
        <w:t xml:space="preserve">54,5% в Индустриальном, на 59,1% в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Орджоникидзевском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,</w:t>
      </w:r>
      <w:r/>
      <w:r>
        <w:rPr>
          <w:rFonts w:ascii="Times New Roman" w:hAnsi="Times New Roman" w:cs="Times New Roman"/>
          <w:sz w:val="28"/>
          <w:szCs w:val="28"/>
        </w:rPr>
        <w:t xml:space="preserve"> на 70,5%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Кировском. </w:t>
      </w:r>
      <w:r/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Ленинском районе нет травмированных на пожарах.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анализируемый период основными объектами возникновения пожаров по городу Перми явились: жилой сектор – </w:t>
      </w:r>
      <w:r>
        <w:rPr>
          <w:rFonts w:ascii="Times New Roman" w:hAnsi="Times New Roman" w:cs="Times New Roman"/>
          <w:sz w:val="28"/>
          <w:szCs w:val="28"/>
        </w:rPr>
        <w:t xml:space="preserve">284 пожаров (АППГ –228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 xml:space="preserve">рост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24,6%.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Снижение зарегистрировано: на 27,1% </w:t>
      </w:r>
      <w:r>
        <w:rPr>
          <w:rFonts w:ascii="Times New Roman" w:hAnsi="Times New Roman" w:cs="Times New Roman"/>
          <w:sz w:val="28"/>
          <w:szCs w:val="28"/>
        </w:rPr>
        <w:t xml:space="preserve">на транспортных средствах (2026 – </w:t>
      </w:r>
      <w:r>
        <w:rPr>
          <w:rFonts w:ascii="Times New Roman" w:hAnsi="Times New Roman" w:cs="Times New Roman"/>
          <w:sz w:val="28"/>
          <w:szCs w:val="28"/>
        </w:rPr>
        <w:t xml:space="preserve">35; АППГ – </w:t>
      </w:r>
      <w:r>
        <w:rPr>
          <w:rFonts w:ascii="Times New Roman" w:hAnsi="Times New Roman" w:cs="Times New Roman"/>
          <w:sz w:val="28"/>
          <w:szCs w:val="28"/>
        </w:rPr>
        <w:t xml:space="preserve">48),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23,6% в </w:t>
      </w:r>
      <w:r>
        <w:rPr>
          <w:rFonts w:ascii="Times New Roman" w:hAnsi="Times New Roman" w:cs="Times New Roman"/>
          <w:sz w:val="28"/>
          <w:szCs w:val="28"/>
        </w:rPr>
        <w:t xml:space="preserve">местах открытого хранения (открытые территории)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20,2% </w:t>
      </w:r>
      <w:r>
        <w:rPr>
          <w:rFonts w:ascii="Times New Roman" w:hAnsi="Times New Roman" w:cs="Times New Roman"/>
          <w:sz w:val="28"/>
          <w:szCs w:val="28"/>
        </w:rPr>
        <w:t xml:space="preserve">в неэксплуатируемых зданиях на 20,2% (2026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79; АППГ – 115).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помещениях производственного назначения  показатель остался на уровне прошлого года </w:t>
      </w:r>
      <w:r>
        <w:rPr>
          <w:rFonts w:ascii="Times New Roman" w:hAnsi="Times New Roman" w:cs="Times New Roman"/>
          <w:sz w:val="28"/>
          <w:szCs w:val="28"/>
        </w:rPr>
        <w:t xml:space="preserve">(2026 – </w:t>
      </w:r>
      <w:r>
        <w:rPr>
          <w:rFonts w:ascii="Times New Roman" w:hAnsi="Times New Roman" w:cs="Times New Roman"/>
          <w:sz w:val="28"/>
          <w:szCs w:val="28"/>
        </w:rPr>
        <w:t xml:space="preserve">12; АППГ —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drawing>
          <wp:inline distT="0" distB="0" distL="0" distR="0">
            <wp:extent cx="4657747" cy="3582717"/>
            <wp:effectExtent l="4762" t="4762" r="4762" b="4762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drawing>
          <wp:inline distT="0" distB="0" distL="0" distR="0">
            <wp:extent cx="4724400" cy="3582717"/>
            <wp:effectExtent l="4762" t="4762" r="4762" b="4762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/>
      <w:r/>
      <w:r/>
      <w:r/>
      <w:r>
        <w:rPr>
          <w:rFonts w:ascii="Times New Roman" w:hAnsi="Times New Roman" w:cs="Times New Roman"/>
          <w:sz w:val="28"/>
          <w:szCs w:val="28"/>
        </w:rPr>
      </w:r>
      <w:r/>
      <w:r/>
      <w:r/>
      <w:r/>
      <w:r>
        <w:rPr>
          <w:highlight w:val="none"/>
        </w:rPr>
      </w:r>
      <w:r>
        <w:rPr>
          <w:highlight w:val="none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аналогичным периодом прошлого года зарегистрировано снижение количества пожаров по причине: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орожное обращение с огнем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8,36%</w:t>
      </w:r>
      <w:r>
        <w:rPr>
          <w:rFonts w:ascii="Times New Roman" w:hAnsi="Times New Roman" w:cs="Times New Roman"/>
          <w:sz w:val="28"/>
          <w:szCs w:val="28"/>
        </w:rPr>
        <w:t xml:space="preserve"> (2026 – </w:t>
      </w:r>
      <w:r>
        <w:rPr>
          <w:rFonts w:ascii="Times New Roman" w:hAnsi="Times New Roman" w:cs="Times New Roman"/>
          <w:sz w:val="28"/>
          <w:szCs w:val="28"/>
        </w:rPr>
        <w:t xml:space="preserve">307;</w:t>
      </w:r>
      <w:r>
        <w:rPr>
          <w:rFonts w:ascii="Times New Roman" w:hAnsi="Times New Roman" w:cs="Times New Roman"/>
          <w:sz w:val="28"/>
          <w:szCs w:val="28"/>
        </w:rPr>
        <w:t xml:space="preserve"> АППГ – </w:t>
      </w:r>
      <w:r>
        <w:rPr>
          <w:rFonts w:ascii="Times New Roman" w:hAnsi="Times New Roman" w:cs="Times New Roman"/>
          <w:sz w:val="28"/>
          <w:szCs w:val="28"/>
        </w:rPr>
        <w:t xml:space="preserve">335)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поджог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30,9% (2026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47;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АППГ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Рост пожаров по причине: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НПУ и Э электрооборудования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19,4% (2026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172;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АППГ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144)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нарушение правил устройс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тва и эксплуатации (далее – НПУ и Э) печей и дымоходов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43,3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(2026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43;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АППГ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30).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>
        <w:drawing>
          <wp:inline distT="0" distB="0" distL="0" distR="0">
            <wp:extent cx="4483813" cy="4672030"/>
            <wp:effectExtent l="1587" t="1587" r="1587" b="1587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/>
      <w:r>
        <w:t xml:space="preserve"> </w:t>
      </w:r>
      <w:r>
        <w:drawing>
          <wp:inline distT="0" distB="0" distL="0" distR="0">
            <wp:extent cx="4788197" cy="4672030"/>
            <wp:effectExtent l="1587" t="1587" r="1587" b="1587"/>
            <wp:docPr id="1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/>
      <w:r/>
      <w:r/>
      <w:r/>
      <w:r/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eastAsia="Calibri" w:cs="Calibri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eastAsia="Calibri" w:cs="Calibri"/>
        </w:rPr>
      </w:r>
      <w:r>
        <w:rPr>
          <w:rFonts w:eastAsia="Calibri" w:cs="Calibri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both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3095464</wp:posOffset>
                </wp:positionH>
                <wp:positionV relativeFrom="paragraph">
                  <wp:posOffset>98350</wp:posOffset>
                </wp:positionV>
                <wp:extent cx="4370857" cy="2794092"/>
                <wp:effectExtent l="6350" t="6350" r="6350" b="6350"/>
                <wp:wrapSquare wrapText="bothSides"/>
                <wp:docPr id="1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962171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 flipH="0" flipV="0">
                          <a:off x="0" y="0"/>
                          <a:ext cx="4370856" cy="279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43.74pt;mso-position-horizontal:absolute;mso-position-vertical-relative:text;margin-top:7.74pt;mso-position-vertical:absolute;width:344.16pt;height:220.01pt;mso-wrap-distance-left:0.00pt;mso-wrap-distance-top:0.00pt;mso-wrap-distance-right:0.00pt;mso-wrap-distance-bottom:0.00pt;" stroked="f">
                <v:path textboxrect="0,0,0,0"/>
                <w10:wrap type="square"/>
                <v:imagedata r:id="rId21" o:title=""/>
              </v:shape>
            </w:pict>
          </mc:Fallback>
        </mc:AlternateContent>
      </w:r>
      <w:r/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center"/>
        <w:spacing w:before="0" w:after="0" w:line="20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70857" cy="2951193"/>
                <wp:effectExtent l="6350" t="6350" r="6350" b="6350"/>
                <wp:docPr id="12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98364" name=""/>
                        <pic:cNvPicPr/>
                        <pic:nvPr/>
                      </pic:nvPicPr>
                      <pic:blipFill>
                        <a:blip r:embed="rId22"/>
                        <a:srcRect l="-11" t="-23" r="-10" b="-22"/>
                        <a:stretch/>
                      </pic:blipFill>
                      <pic:spPr bwMode="auto">
                        <a:xfrm rot="0" flipH="0" flipV="0">
                          <a:off x="0" y="0"/>
                          <a:ext cx="4370856" cy="2951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44.16pt;height:232.38pt;mso-wrap-distance-left:0.00pt;mso-wrap-distance-top:0.00pt;mso-wrap-distance-right:0.00pt;mso-wrap-distance-bottom:0.00pt;rotation:0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6838" w:h="11906" w:orient="landscape"/>
      <w:pgMar w:top="765" w:right="539" w:bottom="284" w:left="42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ahoma">
    <w:panose1 w:val="020B0604030504040204"/>
  </w:font>
  <w:font w:name="Wingdings">
    <w:panose1 w:val="05010000000000000000"/>
  </w:font>
  <w:font w:name="Lohit Devanagari">
    <w:panose1 w:val="020B0600000000000000"/>
  </w:font>
  <w:font w:name="Courier New">
    <w:panose1 w:val="02070309020205020404"/>
  </w:font>
  <w:font w:name="Symbol">
    <w:panose1 w:val="05010000000000000000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link w:val="855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link w:val="856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4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4"/>
    <w:next w:val="854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4"/>
    <w:next w:val="854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link w:val="927"/>
    <w:uiPriority w:val="99"/>
  </w:style>
  <w:style w:type="character" w:styleId="709">
    <w:name w:val="Footer Char"/>
    <w:link w:val="928"/>
    <w:uiPriority w:val="99"/>
  </w:style>
  <w:style w:type="character" w:styleId="710">
    <w:name w:val="Caption Char"/>
    <w:basedOn w:val="917"/>
    <w:link w:val="928"/>
    <w:uiPriority w:val="99"/>
  </w:style>
  <w:style w:type="table" w:styleId="711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931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4"/>
    <w:next w:val="854"/>
    <w:uiPriority w:val="99"/>
    <w:unhideWhenUsed/>
    <w:pPr>
      <w:spacing w:after="0" w:afterAutospacing="0"/>
    </w:pPr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4" w:default="1">
    <w:name w:val="Normal"/>
    <w:next w:val="854"/>
    <w:pPr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855">
    <w:name w:val="Heading 1"/>
    <w:basedOn w:val="854"/>
    <w:next w:val="854"/>
    <w:pPr>
      <w:numPr>
        <w:ilvl w:val="0"/>
        <w:numId w:val="1"/>
      </w:numPr>
      <w:keepNext/>
      <w:spacing w:before="240" w:after="60" w:line="240" w:lineRule="auto"/>
      <w:outlineLvl w:val="0"/>
    </w:pPr>
    <w:rPr>
      <w:rFonts w:ascii="Cambria" w:hAnsi="Cambria" w:eastAsia="Calibri" w:cs="Cambria"/>
      <w:b/>
      <w:bCs/>
      <w:sz w:val="32"/>
      <w:szCs w:val="32"/>
      <w:lang w:val="en-US"/>
    </w:rPr>
  </w:style>
  <w:style w:type="paragraph" w:styleId="856">
    <w:name w:val="Heading 2"/>
    <w:basedOn w:val="854"/>
    <w:next w:val="854"/>
    <w:link w:val="854"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styleId="857">
    <w:name w:val="WW8Num1z0"/>
    <w:next w:val="857"/>
    <w:link w:val="854"/>
    <w:rPr>
      <w:rFonts w:ascii="Symbol" w:hAnsi="Symbol" w:cs="Symbol"/>
      <w:sz w:val="20"/>
    </w:rPr>
  </w:style>
  <w:style w:type="character" w:styleId="858">
    <w:name w:val="WW8Num1z1"/>
    <w:next w:val="858"/>
    <w:link w:val="854"/>
    <w:rPr>
      <w:rFonts w:ascii="Courier New" w:hAnsi="Courier New" w:cs="Courier New"/>
      <w:sz w:val="20"/>
    </w:rPr>
  </w:style>
  <w:style w:type="character" w:styleId="859">
    <w:name w:val="WW8Num1z2"/>
    <w:next w:val="859"/>
    <w:link w:val="854"/>
    <w:rPr>
      <w:rFonts w:ascii="Wingdings" w:hAnsi="Wingdings" w:cs="Wingdings"/>
      <w:sz w:val="20"/>
    </w:rPr>
  </w:style>
  <w:style w:type="character" w:styleId="860">
    <w:name w:val="WW8Num2z0"/>
    <w:next w:val="860"/>
    <w:link w:val="854"/>
    <w:rPr>
      <w:rFonts w:ascii="Symbol" w:hAnsi="Symbol" w:eastAsia="Times New Roman" w:cs="Symbol"/>
    </w:rPr>
  </w:style>
  <w:style w:type="character" w:styleId="861">
    <w:name w:val="WW8Num2z1"/>
    <w:next w:val="861"/>
    <w:link w:val="854"/>
    <w:rPr>
      <w:rFonts w:ascii="Courier New" w:hAnsi="Courier New" w:cs="Courier New"/>
    </w:rPr>
  </w:style>
  <w:style w:type="character" w:styleId="862">
    <w:name w:val="WW8Num2z2"/>
    <w:next w:val="862"/>
    <w:link w:val="854"/>
    <w:rPr>
      <w:rFonts w:ascii="Wingdings" w:hAnsi="Wingdings" w:cs="Wingdings"/>
    </w:rPr>
  </w:style>
  <w:style w:type="character" w:styleId="863">
    <w:name w:val="WW8Num2z3"/>
    <w:next w:val="863"/>
    <w:link w:val="854"/>
    <w:rPr>
      <w:rFonts w:ascii="Symbol" w:hAnsi="Symbol" w:cs="Symbol"/>
    </w:rPr>
  </w:style>
  <w:style w:type="character" w:styleId="864">
    <w:name w:val="WW8Num3z0"/>
    <w:next w:val="864"/>
    <w:link w:val="854"/>
    <w:rPr>
      <w:rFonts w:ascii="Symbol" w:hAnsi="Symbol" w:eastAsia="Times New Roman" w:cs="Symbol"/>
    </w:rPr>
  </w:style>
  <w:style w:type="character" w:styleId="865">
    <w:name w:val="WW8Num3z1"/>
    <w:next w:val="865"/>
    <w:link w:val="854"/>
    <w:rPr>
      <w:rFonts w:ascii="Courier New" w:hAnsi="Courier New" w:cs="Courier New"/>
    </w:rPr>
  </w:style>
  <w:style w:type="character" w:styleId="866">
    <w:name w:val="WW8Num3z2"/>
    <w:next w:val="866"/>
    <w:link w:val="854"/>
    <w:rPr>
      <w:rFonts w:ascii="Wingdings" w:hAnsi="Wingdings" w:cs="Wingdings"/>
    </w:rPr>
  </w:style>
  <w:style w:type="character" w:styleId="867">
    <w:name w:val="WW8Num3z3"/>
    <w:next w:val="867"/>
    <w:link w:val="854"/>
    <w:rPr>
      <w:rFonts w:ascii="Symbol" w:hAnsi="Symbol" w:cs="Symbol"/>
    </w:rPr>
  </w:style>
  <w:style w:type="character" w:styleId="868">
    <w:name w:val="WW8Num4z0"/>
    <w:next w:val="868"/>
    <w:link w:val="854"/>
    <w:rPr>
      <w:rFonts w:ascii="Symbol" w:hAnsi="Symbol" w:cs="Symbol"/>
    </w:rPr>
  </w:style>
  <w:style w:type="character" w:styleId="869">
    <w:name w:val="WW8Num4z1"/>
    <w:next w:val="869"/>
    <w:link w:val="854"/>
    <w:rPr>
      <w:rFonts w:ascii="Courier New" w:hAnsi="Courier New" w:cs="Courier New"/>
    </w:rPr>
  </w:style>
  <w:style w:type="character" w:styleId="870">
    <w:name w:val="WW8Num4z2"/>
    <w:next w:val="870"/>
    <w:link w:val="854"/>
    <w:rPr>
      <w:rFonts w:ascii="Wingdings" w:hAnsi="Wingdings" w:cs="Wingdings"/>
    </w:rPr>
  </w:style>
  <w:style w:type="character" w:styleId="871">
    <w:name w:val="WW8Num5z0"/>
    <w:next w:val="871"/>
    <w:link w:val="854"/>
    <w:rPr>
      <w:rFonts w:cs="Times New Roman"/>
    </w:rPr>
  </w:style>
  <w:style w:type="character" w:styleId="872">
    <w:name w:val="WW8Num6z0"/>
    <w:next w:val="872"/>
    <w:link w:val="854"/>
    <w:rPr>
      <w:rFonts w:cs="Times New Roman"/>
    </w:rPr>
  </w:style>
  <w:style w:type="character" w:styleId="873">
    <w:name w:val="WW8Num6z1"/>
    <w:next w:val="873"/>
    <w:link w:val="854"/>
    <w:rPr>
      <w:rFonts w:cs="Times New Roman"/>
    </w:rPr>
  </w:style>
  <w:style w:type="character" w:styleId="874">
    <w:name w:val="WW8Num7z0"/>
    <w:next w:val="874"/>
    <w:link w:val="854"/>
    <w:rPr>
      <w:rFonts w:ascii="Symbol" w:hAnsi="Symbol" w:cs="Symbol"/>
      <w:sz w:val="20"/>
    </w:rPr>
  </w:style>
  <w:style w:type="character" w:styleId="875">
    <w:name w:val="WW8Num7z1"/>
    <w:next w:val="875"/>
    <w:link w:val="854"/>
    <w:rPr>
      <w:rFonts w:ascii="Courier New" w:hAnsi="Courier New" w:cs="Courier New"/>
      <w:sz w:val="20"/>
    </w:rPr>
  </w:style>
  <w:style w:type="character" w:styleId="876">
    <w:name w:val="WW8Num7z2"/>
    <w:next w:val="876"/>
    <w:link w:val="854"/>
    <w:rPr>
      <w:rFonts w:ascii="Wingdings" w:hAnsi="Wingdings" w:cs="Wingdings"/>
      <w:sz w:val="20"/>
    </w:rPr>
  </w:style>
  <w:style w:type="character" w:styleId="877">
    <w:name w:val="WW8Num9z0"/>
    <w:next w:val="877"/>
    <w:link w:val="854"/>
    <w:rPr>
      <w:rFonts w:ascii="Symbol" w:hAnsi="Symbol" w:cs="Symbol"/>
      <w:sz w:val="20"/>
    </w:rPr>
  </w:style>
  <w:style w:type="character" w:styleId="878">
    <w:name w:val="WW8Num9z1"/>
    <w:next w:val="878"/>
    <w:link w:val="854"/>
    <w:rPr>
      <w:rFonts w:ascii="Courier New" w:hAnsi="Courier New" w:cs="Courier New"/>
      <w:sz w:val="20"/>
    </w:rPr>
  </w:style>
  <w:style w:type="character" w:styleId="879">
    <w:name w:val="WW8Num9z2"/>
    <w:next w:val="879"/>
    <w:link w:val="854"/>
    <w:rPr>
      <w:rFonts w:ascii="Wingdings" w:hAnsi="Wingdings" w:cs="Wingdings"/>
      <w:sz w:val="20"/>
    </w:rPr>
  </w:style>
  <w:style w:type="character" w:styleId="880">
    <w:name w:val="WW8Num10z0"/>
    <w:next w:val="880"/>
    <w:link w:val="854"/>
    <w:rPr>
      <w:rFonts w:cs="Times New Roman"/>
    </w:rPr>
  </w:style>
  <w:style w:type="character" w:styleId="881">
    <w:name w:val="WW8Num10z1"/>
    <w:next w:val="881"/>
    <w:link w:val="854"/>
    <w:rPr>
      <w:rFonts w:cs="Times New Roman"/>
    </w:rPr>
  </w:style>
  <w:style w:type="character" w:styleId="882">
    <w:name w:val="WW8Num11z0"/>
    <w:next w:val="882"/>
    <w:link w:val="854"/>
    <w:rPr>
      <w:rFonts w:ascii="Times New Roman" w:hAnsi="Times New Roman" w:eastAsia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6"/>
      <w:u w:val="none"/>
      <w:vertAlign w:val="baseline"/>
    </w:rPr>
  </w:style>
  <w:style w:type="character" w:styleId="883">
    <w:name w:val="WW8Num11z1"/>
    <w:next w:val="883"/>
    <w:link w:val="85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styleId="884">
    <w:name w:val="WW8Num11z2"/>
    <w:next w:val="884"/>
    <w:link w:val="854"/>
    <w:rPr>
      <w:rFonts w:cs="Times New Roman"/>
    </w:rPr>
  </w:style>
  <w:style w:type="character" w:styleId="885">
    <w:name w:val="WW8Num12z0"/>
    <w:next w:val="885"/>
    <w:link w:val="854"/>
    <w:rPr>
      <w:rFonts w:ascii="Symbol" w:hAnsi="Symbol" w:cs="Symbol"/>
      <w:sz w:val="20"/>
    </w:rPr>
  </w:style>
  <w:style w:type="character" w:styleId="886">
    <w:name w:val="WW8Num12z1"/>
    <w:next w:val="886"/>
    <w:link w:val="854"/>
    <w:rPr>
      <w:rFonts w:ascii="Courier New" w:hAnsi="Courier New" w:cs="Courier New"/>
      <w:sz w:val="20"/>
    </w:rPr>
  </w:style>
  <w:style w:type="character" w:styleId="887">
    <w:name w:val="WW8Num12z2"/>
    <w:next w:val="887"/>
    <w:link w:val="854"/>
    <w:rPr>
      <w:rFonts w:ascii="Wingdings" w:hAnsi="Wingdings" w:cs="Wingdings"/>
      <w:sz w:val="20"/>
    </w:rPr>
  </w:style>
  <w:style w:type="character" w:styleId="888">
    <w:name w:val="WW8Num13z0"/>
    <w:next w:val="888"/>
    <w:link w:val="854"/>
    <w:rPr>
      <w:rFonts w:ascii="Symbol" w:hAnsi="Symbol" w:cs="Symbol"/>
      <w:sz w:val="20"/>
    </w:rPr>
  </w:style>
  <w:style w:type="character" w:styleId="889">
    <w:name w:val="WW8Num13z1"/>
    <w:next w:val="889"/>
    <w:link w:val="854"/>
    <w:rPr>
      <w:rFonts w:ascii="Courier New" w:hAnsi="Courier New" w:cs="Courier New"/>
      <w:sz w:val="20"/>
    </w:rPr>
  </w:style>
  <w:style w:type="character" w:styleId="890">
    <w:name w:val="WW8Num13z2"/>
    <w:next w:val="890"/>
    <w:link w:val="854"/>
    <w:rPr>
      <w:rFonts w:ascii="Wingdings" w:hAnsi="Wingdings" w:cs="Wingdings"/>
      <w:sz w:val="20"/>
    </w:rPr>
  </w:style>
  <w:style w:type="character" w:styleId="891">
    <w:name w:val="WW8Num14z0"/>
    <w:next w:val="891"/>
    <w:link w:val="854"/>
  </w:style>
  <w:style w:type="character" w:styleId="892">
    <w:name w:val="WW8Num15z0"/>
    <w:next w:val="892"/>
    <w:link w:val="854"/>
    <w:rPr>
      <w:rFonts w:ascii="Symbol" w:hAnsi="Symbol" w:cs="Symbol"/>
      <w:sz w:val="20"/>
    </w:rPr>
  </w:style>
  <w:style w:type="character" w:styleId="893">
    <w:name w:val="WW8Num15z1"/>
    <w:next w:val="893"/>
    <w:link w:val="854"/>
    <w:rPr>
      <w:rFonts w:ascii="Courier New" w:hAnsi="Courier New" w:cs="Courier New"/>
      <w:sz w:val="20"/>
    </w:rPr>
  </w:style>
  <w:style w:type="character" w:styleId="894">
    <w:name w:val="WW8Num15z2"/>
    <w:next w:val="894"/>
    <w:link w:val="854"/>
    <w:rPr>
      <w:rFonts w:ascii="Wingdings" w:hAnsi="Wingdings" w:cs="Wingdings"/>
      <w:sz w:val="20"/>
    </w:rPr>
  </w:style>
  <w:style w:type="character" w:styleId="895">
    <w:name w:val="WW8Num16z0"/>
    <w:next w:val="895"/>
    <w:link w:val="854"/>
  </w:style>
  <w:style w:type="character" w:styleId="896">
    <w:name w:val="WW8Num17z0"/>
    <w:next w:val="896"/>
    <w:link w:val="854"/>
    <w:rPr>
      <w:rFonts w:ascii="Symbol" w:hAnsi="Symbol" w:cs="Symbol"/>
      <w:sz w:val="20"/>
    </w:rPr>
  </w:style>
  <w:style w:type="character" w:styleId="897">
    <w:name w:val="WW8Num17z1"/>
    <w:next w:val="897"/>
    <w:link w:val="854"/>
    <w:rPr>
      <w:rFonts w:ascii="Courier New" w:hAnsi="Courier New" w:cs="Courier New"/>
      <w:sz w:val="20"/>
    </w:rPr>
  </w:style>
  <w:style w:type="character" w:styleId="898">
    <w:name w:val="WW8Num17z2"/>
    <w:next w:val="898"/>
    <w:link w:val="854"/>
    <w:rPr>
      <w:rFonts w:ascii="Wingdings" w:hAnsi="Wingdings" w:cs="Wingdings"/>
      <w:sz w:val="20"/>
    </w:rPr>
  </w:style>
  <w:style w:type="character" w:styleId="899">
    <w:name w:val="WW8Num18z0"/>
    <w:next w:val="899"/>
    <w:link w:val="854"/>
    <w:rPr>
      <w:rFonts w:ascii="Symbol" w:hAnsi="Symbol" w:cs="Symbol"/>
      <w:sz w:val="20"/>
    </w:rPr>
  </w:style>
  <w:style w:type="character" w:styleId="900">
    <w:name w:val="WW8Num18z1"/>
    <w:next w:val="900"/>
    <w:link w:val="854"/>
    <w:rPr>
      <w:rFonts w:ascii="Courier New" w:hAnsi="Courier New" w:cs="Courier New"/>
      <w:sz w:val="20"/>
    </w:rPr>
  </w:style>
  <w:style w:type="character" w:styleId="901">
    <w:name w:val="WW8Num18z2"/>
    <w:next w:val="901"/>
    <w:link w:val="854"/>
    <w:rPr>
      <w:rFonts w:ascii="Wingdings" w:hAnsi="Wingdings" w:cs="Wingdings"/>
      <w:sz w:val="20"/>
    </w:rPr>
  </w:style>
  <w:style w:type="character" w:styleId="902">
    <w:name w:val="WW8Num19z0"/>
    <w:next w:val="902"/>
    <w:link w:val="854"/>
    <w:rPr>
      <w:rFonts w:cs="Times New Roman"/>
    </w:rPr>
  </w:style>
  <w:style w:type="character" w:styleId="903">
    <w:name w:val="Основной шрифт абзаца"/>
    <w:next w:val="903"/>
    <w:link w:val="854"/>
  </w:style>
  <w:style w:type="character" w:styleId="904">
    <w:name w:val="Заголовок 1 Знак"/>
    <w:next w:val="904"/>
    <w:link w:val="854"/>
    <w:rPr>
      <w:rFonts w:ascii="Cambria" w:hAnsi="Cambria" w:cs="Times New Roman"/>
      <w:b/>
      <w:bCs/>
      <w:sz w:val="32"/>
      <w:szCs w:val="32"/>
    </w:rPr>
  </w:style>
  <w:style w:type="character" w:styleId="905">
    <w:name w:val="Текст выноски Знак"/>
    <w:next w:val="905"/>
    <w:link w:val="854"/>
    <w:rPr>
      <w:rFonts w:ascii="Tahoma" w:hAnsi="Tahoma" w:cs="Tahoma"/>
      <w:sz w:val="16"/>
      <w:szCs w:val="16"/>
    </w:rPr>
  </w:style>
  <w:style w:type="character" w:styleId="906">
    <w:name w:val="Верхний колонтитул Знак"/>
    <w:next w:val="906"/>
    <w:link w:val="854"/>
    <w:rPr>
      <w:rFonts w:cs="Times New Roman"/>
    </w:rPr>
  </w:style>
  <w:style w:type="character" w:styleId="907">
    <w:name w:val="Нижний колонтитул Знак"/>
    <w:next w:val="907"/>
    <w:link w:val="854"/>
    <w:rPr>
      <w:rFonts w:cs="Times New Roman"/>
    </w:rPr>
  </w:style>
  <w:style w:type="character" w:styleId="908">
    <w:name w:val="Текст сноски Знак"/>
    <w:next w:val="908"/>
    <w:link w:val="854"/>
    <w:rPr>
      <w:rFonts w:ascii="Calibri" w:hAnsi="Calibri" w:eastAsia="Times New Roman" w:cs="Times New Roman"/>
      <w:sz w:val="20"/>
      <w:szCs w:val="20"/>
    </w:rPr>
  </w:style>
  <w:style w:type="character" w:styleId="909">
    <w:name w:val="Символ сноски"/>
    <w:next w:val="909"/>
    <w:link w:val="854"/>
    <w:rPr>
      <w:rFonts w:cs="Times New Roman"/>
      <w:vertAlign w:val="superscript"/>
    </w:rPr>
  </w:style>
  <w:style w:type="character" w:styleId="910">
    <w:name w:val="Hyperlink"/>
    <w:next w:val="910"/>
    <w:link w:val="854"/>
    <w:rPr>
      <w:rFonts w:cs="Times New Roman"/>
      <w:color w:val="0000ff"/>
      <w:u w:val="single"/>
    </w:rPr>
  </w:style>
  <w:style w:type="character" w:styleId="911">
    <w:name w:val="Основной текст Знак"/>
    <w:next w:val="911"/>
    <w:link w:val="854"/>
    <w:rPr>
      <w:rFonts w:ascii="Times New Roman" w:hAnsi="Times New Roman" w:cs="Times New Roman"/>
      <w:sz w:val="20"/>
      <w:szCs w:val="20"/>
    </w:rPr>
  </w:style>
  <w:style w:type="character" w:styleId="912">
    <w:name w:val="Основной текст_"/>
    <w:next w:val="912"/>
    <w:link w:val="8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913">
    <w:name w:val="Заголовок 2 Знак"/>
    <w:next w:val="913"/>
    <w:link w:val="854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14">
    <w:name w:val="Заголовок"/>
    <w:basedOn w:val="854"/>
    <w:next w:val="915"/>
    <w:link w:val="854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915">
    <w:name w:val="Body Text"/>
    <w:basedOn w:val="854"/>
    <w:next w:val="915"/>
    <w:link w:val="854"/>
    <w:pPr>
      <w:spacing w:before="0" w:after="0" w:line="240" w:lineRule="auto"/>
    </w:pPr>
    <w:rPr>
      <w:rFonts w:ascii="Times New Roman" w:hAnsi="Times New Roman" w:eastAsia="Calibri" w:cs="Times New Roman"/>
      <w:sz w:val="20"/>
      <w:szCs w:val="20"/>
      <w:lang w:val="en-US"/>
    </w:rPr>
  </w:style>
  <w:style w:type="paragraph" w:styleId="916">
    <w:name w:val="List"/>
    <w:basedOn w:val="915"/>
    <w:next w:val="916"/>
    <w:link w:val="854"/>
    <w:rPr>
      <w:rFonts w:cs="Lohit Devanagari"/>
    </w:rPr>
  </w:style>
  <w:style w:type="paragraph" w:styleId="917">
    <w:name w:val="Caption"/>
    <w:basedOn w:val="854"/>
    <w:next w:val="917"/>
    <w:link w:val="854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18">
    <w:name w:val="Указатель"/>
    <w:basedOn w:val="854"/>
    <w:next w:val="918"/>
    <w:link w:val="854"/>
    <w:pPr>
      <w:suppressLineNumbers/>
    </w:pPr>
    <w:rPr>
      <w:rFonts w:cs="Lohit Devanagari"/>
    </w:rPr>
  </w:style>
  <w:style w:type="paragraph" w:styleId="919">
    <w:name w:val="Caption1"/>
    <w:basedOn w:val="854"/>
    <w:next w:val="919"/>
    <w:link w:val="854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20">
    <w:name w:val="Caption11"/>
    <w:basedOn w:val="854"/>
    <w:next w:val="920"/>
    <w:link w:val="854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21">
    <w:name w:val="Абзац списка1"/>
    <w:basedOn w:val="854"/>
    <w:next w:val="921"/>
    <w:link w:val="854"/>
    <w:pPr>
      <w:ind w:left="720" w:right="0" w:firstLine="0"/>
    </w:pPr>
  </w:style>
  <w:style w:type="paragraph" w:styleId="922">
    <w:name w:val="Текст выноски"/>
    <w:basedOn w:val="854"/>
    <w:next w:val="922"/>
    <w:link w:val="854"/>
    <w:pPr>
      <w:spacing w:before="0" w:after="0" w:line="240" w:lineRule="auto"/>
    </w:pPr>
    <w:rPr>
      <w:rFonts w:ascii="Tahoma" w:hAnsi="Tahoma" w:eastAsia="Calibri" w:cs="Tahoma"/>
      <w:sz w:val="16"/>
      <w:szCs w:val="16"/>
      <w:lang w:val="en-US"/>
    </w:rPr>
  </w:style>
  <w:style w:type="paragraph" w:styleId="923">
    <w:name w:val="ConsPlusNonformat"/>
    <w:next w:val="923"/>
    <w:link w:val="854"/>
    <w:pPr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zh-CN" w:bidi="ar-SA"/>
    </w:rPr>
  </w:style>
  <w:style w:type="paragraph" w:styleId="924">
    <w:name w:val="ConsPlusNormal"/>
    <w:next w:val="924"/>
    <w:link w:val="854"/>
    <w:pPr>
      <w:ind w:left="0" w:right="0" w:firstLine="720"/>
      <w:widowControl w:val="off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925">
    <w:name w:val="ConsNormal"/>
    <w:next w:val="925"/>
    <w:link w:val="854"/>
    <w:pPr>
      <w:ind w:left="0" w:right="19772" w:firstLine="720"/>
      <w:widowControl w:val="off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926">
    <w:name w:val="Колонтитул"/>
    <w:basedOn w:val="854"/>
    <w:next w:val="926"/>
    <w:link w:val="854"/>
    <w:pPr>
      <w:tabs>
        <w:tab w:val="center" w:pos="4819" w:leader="none"/>
        <w:tab w:val="right" w:pos="9638" w:leader="none"/>
      </w:tabs>
      <w:suppressLineNumbers/>
    </w:pPr>
  </w:style>
  <w:style w:type="paragraph" w:styleId="927">
    <w:name w:val="Header"/>
    <w:basedOn w:val="854"/>
    <w:next w:val="927"/>
    <w:link w:val="854"/>
    <w:pPr>
      <w:spacing w:before="0" w:after="0" w:line="240" w:lineRule="auto"/>
    </w:pPr>
    <w:rPr>
      <w:rFonts w:eastAsia="Calibri"/>
      <w:sz w:val="20"/>
      <w:szCs w:val="20"/>
      <w:lang w:val="en-US"/>
    </w:rPr>
  </w:style>
  <w:style w:type="paragraph" w:styleId="928">
    <w:name w:val="Footer"/>
    <w:basedOn w:val="854"/>
    <w:next w:val="928"/>
    <w:link w:val="854"/>
    <w:pPr>
      <w:spacing w:before="0" w:after="0" w:line="240" w:lineRule="auto"/>
    </w:pPr>
    <w:rPr>
      <w:rFonts w:eastAsia="Calibri"/>
      <w:sz w:val="20"/>
      <w:szCs w:val="20"/>
      <w:lang w:val="en-US"/>
    </w:rPr>
  </w:style>
  <w:style w:type="paragraph" w:styleId="929">
    <w:name w:val="ConsPlusCell"/>
    <w:next w:val="929"/>
    <w:link w:val="854"/>
    <w:pPr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30">
    <w:name w:val="ConsPlusTitle"/>
    <w:next w:val="930"/>
    <w:link w:val="854"/>
    <w:pPr>
      <w:widowControl w:val="off"/>
    </w:pPr>
    <w:rPr>
      <w:rFonts w:ascii="Times New Roman" w:hAnsi="Times New Roman" w:eastAsia="Calibri" w:cs="Times New Roman"/>
      <w:b/>
      <w:bCs/>
      <w:color w:val="auto"/>
      <w:sz w:val="24"/>
      <w:szCs w:val="24"/>
      <w:lang w:val="ru-RU" w:eastAsia="zh-CN" w:bidi="ar-SA"/>
    </w:rPr>
  </w:style>
  <w:style w:type="paragraph" w:styleId="931">
    <w:name w:val="footnote text"/>
    <w:basedOn w:val="854"/>
    <w:next w:val="931"/>
    <w:link w:val="854"/>
    <w:pPr>
      <w:spacing w:before="0" w:after="0" w:line="240" w:lineRule="auto"/>
    </w:pPr>
    <w:rPr>
      <w:sz w:val="20"/>
      <w:szCs w:val="20"/>
      <w:lang w:val="en-US"/>
    </w:rPr>
  </w:style>
  <w:style w:type="paragraph" w:styleId="932">
    <w:name w:val="Основной текст1"/>
    <w:basedOn w:val="854"/>
    <w:next w:val="932"/>
    <w:link w:val="854"/>
    <w:pPr>
      <w:jc w:val="both"/>
      <w:spacing w:before="300" w:after="0" w:line="320" w:lineRule="exact"/>
      <w:shd w:val="clear" w:color="auto" w:fill="ffffff"/>
    </w:pPr>
    <w:rPr>
      <w:rFonts w:ascii="Times New Roman" w:hAnsi="Times New Roman" w:eastAsia="Calibri" w:cs="Times New Roman"/>
      <w:sz w:val="26"/>
      <w:szCs w:val="26"/>
      <w:lang w:val="en-US"/>
    </w:rPr>
  </w:style>
  <w:style w:type="paragraph" w:styleId="933">
    <w:name w:val="Знак"/>
    <w:basedOn w:val="854"/>
    <w:next w:val="933"/>
    <w:link w:val="854"/>
    <w:pPr>
      <w:jc w:val="right"/>
      <w:spacing w:before="0" w:after="160" w:line="240" w:lineRule="exact"/>
      <w:widowControl w:val="off"/>
    </w:pPr>
    <w:rPr>
      <w:rFonts w:cs="Calibri"/>
      <w:sz w:val="20"/>
      <w:szCs w:val="20"/>
      <w:lang w:val="en-GB"/>
    </w:rPr>
  </w:style>
  <w:style w:type="paragraph" w:styleId="934">
    <w:name w:val="Нормальный"/>
    <w:next w:val="934"/>
    <w:link w:val="854"/>
    <w:pPr>
      <w:widowControl w:val="off"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935">
    <w:name w:val="Знак1 Знак Знак Знак"/>
    <w:basedOn w:val="854"/>
    <w:next w:val="935"/>
    <w:link w:val="854"/>
    <w:pPr>
      <w:jc w:val="right"/>
      <w:spacing w:before="0" w:after="160" w:line="240" w:lineRule="exact"/>
      <w:widowControl w:val="off"/>
    </w:pPr>
    <w:rPr>
      <w:rFonts w:ascii="Times New Roman" w:hAnsi="Times New Roman" w:cs="Times New Roman"/>
      <w:sz w:val="20"/>
      <w:szCs w:val="20"/>
      <w:lang w:val="en-GB"/>
    </w:rPr>
  </w:style>
  <w:style w:type="paragraph" w:styleId="936">
    <w:name w:val="Знак Знак1 Знак"/>
    <w:basedOn w:val="854"/>
    <w:next w:val="936"/>
    <w:link w:val="854"/>
    <w:pPr>
      <w:jc w:val="right"/>
      <w:spacing w:before="0" w:after="160" w:line="240" w:lineRule="exact"/>
      <w:widowControl w:val="off"/>
    </w:pPr>
    <w:rPr>
      <w:rFonts w:ascii="Times New Roman" w:hAnsi="Times New Roman" w:cs="Times New Roman"/>
      <w:sz w:val="20"/>
      <w:szCs w:val="20"/>
      <w:lang w:val="en-GB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Relationship Id="rId15" Type="http://schemas.openxmlformats.org/officeDocument/2006/relationships/chart" Target="charts/chart5.xml" /><Relationship Id="rId16" Type="http://schemas.openxmlformats.org/officeDocument/2006/relationships/chart" Target="charts/chart6.xml" /><Relationship Id="rId17" Type="http://schemas.openxmlformats.org/officeDocument/2006/relationships/chart" Target="charts/chart7.xml" /><Relationship Id="rId18" Type="http://schemas.openxmlformats.org/officeDocument/2006/relationships/chart" Target="charts/chart8.xml" /><Relationship Id="rId19" Type="http://schemas.openxmlformats.org/officeDocument/2006/relationships/chart" Target="charts/chart9.xml" /><Relationship Id="rId20" Type="http://schemas.openxmlformats.org/officeDocument/2006/relationships/chart" Target="charts/chart10.xml" /><Relationship Id="rId21" Type="http://schemas.openxmlformats.org/officeDocument/2006/relationships/image" Target="media/image1.jpg"/><Relationship Id="rId2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10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0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4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/>
              <a:t>Количество пожаров г. Пермь за  6 месяцев  2026 г.</a:t>
            </a:r>
            <a:endParaRPr/>
          </a:p>
        </c:rich>
      </c:tx>
      <c:layout>
        <c:manualLayout>
          <c:xMode val="edge"/>
          <c:yMode val="edge"/>
          <c:x val="0.233890"/>
          <c:y val="0.029910"/>
        </c:manualLayout>
      </c:layout>
      <c:overlay val="0"/>
    </c:title>
    <c:plotArea>
      <c:layout>
        <c:manualLayout>
          <c:layoutTarget val="inner"/>
          <c:xMode val="edge"/>
          <c:yMode val="edge"/>
          <c:wMode val="factor"/>
          <c:hMode val="factor"/>
          <c:x val="0.101590"/>
          <c:y val="0.138800"/>
          <c:w val="0.757070"/>
          <c:h val="0.592580"/>
        </c:manualLayout>
      </c:layout>
      <c:barChart>
        <c:barDir val="col"/>
        <c:grouping val="standar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4586"/>
            </a:solidFill>
            <a:ln w="12700">
              <a:solidFill>
                <a:srgbClr val="000000"/>
              </a:solidFill>
              <a:prstDash val="solid"/>
            </a:ln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Лист1!$A$31:$A$39</c:f>
              <c:strCache>
                <c:ptCount val="9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Лист1!$B$31:$B$39</c:f>
              <c:numCache>
                <c:formatCode>General</c:formatCode>
                <c:ptCount val="9"/>
                <c:pt idx="0" formatCode="General">
                  <c:v>620</c:v>
                </c:pt>
                <c:pt idx="1" formatCode="General">
                  <c:v>39</c:v>
                </c:pt>
                <c:pt idx="2" formatCode="_-* #,##0_р_._-;\-* #,##0_р_._-;_-* \-??_р_._-;_-@_-">
                  <c:v>89</c:v>
                </c:pt>
                <c:pt idx="3" formatCode="General">
                  <c:v>85</c:v>
                </c:pt>
                <c:pt idx="4" formatCode="_-* #,##0_р_._-;\-* #,##0_р_._-;_-* \-??_р_._-;_-@_-">
                  <c:v>39</c:v>
                </c:pt>
                <c:pt idx="5" formatCode="_-* #,##0_р_._-;\-* #,##0_р_._-;_-* \-??_р_._-;_-@_-">
                  <c:v>110</c:v>
                </c:pt>
                <c:pt idx="6" formatCode="General">
                  <c:v>140</c:v>
                </c:pt>
                <c:pt idx="7" formatCode="General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420E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>
              <c:idx val="5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>
              <c:idx val="7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Лист1!$A$31:$A$39</c:f>
              <c:strCache>
                <c:ptCount val="9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Лист1!$C$31:$C$39</c:f>
              <c:numCache>
                <c:formatCode>General</c:formatCode>
                <c:ptCount val="9"/>
                <c:pt idx="0" formatCode="General">
                  <c:v>599</c:v>
                </c:pt>
                <c:pt idx="1" formatCode="General">
                  <c:v>79</c:v>
                </c:pt>
                <c:pt idx="2" formatCode="_-* #,##0_р_._-;\-* #,##0_р_._-;_-* \-??_р_._-;_-@_-">
                  <c:v>80</c:v>
                </c:pt>
                <c:pt idx="3" formatCode="General">
                  <c:v>85</c:v>
                </c:pt>
                <c:pt idx="4" formatCode="_-* #,##0_р_._-;\-* #,##0_р_._-;_-* \-??_р_._-;_-@_-">
                  <c:v>30</c:v>
                </c:pt>
                <c:pt idx="5" formatCode="_-* #,##0_р_._-;\-* #,##0_р_._-;_-* \-??_р_._-;_-@_-">
                  <c:v>134</c:v>
                </c:pt>
                <c:pt idx="6" formatCode="General">
                  <c:v>112</c:v>
                </c:pt>
                <c:pt idx="7" formatCode="General">
                  <c:v>79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866169699"/>
        <c:axId val="1866169700"/>
      </c:barChart>
      <c:catAx>
        <c:axId val="18661696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B3B3B3"/>
            </a:solidFill>
            <a:prstDash val="solid"/>
          </a:ln>
        </c:spPr>
        <c:txPr>
          <a:bodyPr rot="-4560000" vert="horz"/>
          <a:p>
            <a:pPr>
              <a:defRPr sz="1000" b="1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00"/>
        <c:crosses val="autoZero"/>
        <c:lblAlgn val="ctr"/>
        <c:lblOffset val="100"/>
        <c:noMultiLvlLbl val="0"/>
      </c:catAx>
      <c:valAx>
        <c:axId val="186616970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B3B3B3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B3B3B3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699"/>
        <c:crosses val="autoZero"/>
        <c:crossBetween val="midCat"/>
      </c:valAx>
      <c:spPr bwMode="auto">
        <a:prstGeom prst="rect">
          <a:avLst/>
        </a:prstGeom>
        <a:noFill/>
        <a:ln w="3175">
          <a:solidFill>
            <a:srgbClr val="B3B3B3"/>
          </a:solidFill>
          <a:prstDash val="solid"/>
        </a:ln>
      </c:spPr>
    </c:plotArea>
    <c:legend>
      <c:layout>
        <c:manualLayout>
          <c:xMode val="edge"/>
          <c:yMode val="edge"/>
          <c:wMode val="edge"/>
          <c:hMode val="edge"/>
          <c:x val="0.853260"/>
          <c:y val="0.397480"/>
          <c:w val="0.927270"/>
          <c:h val="0.47661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900" b="0" i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6262103" cy="3550257"/>
    </a:xfrm>
    <a:prstGeom prst="rect">
      <a:avLst/>
    </a:prstGeom>
    <a:solidFill>
      <a:srgbClr val="FFFFFF"/>
    </a:solidFill>
    <a:ln w="3175">
      <a:noFill/>
    </a:ln>
  </c:spPr>
  <c:txPr>
    <a:bodyPr rot="0" vert="horz"/>
    <a:lstStyle/>
    <a:p>
      <a:pPr>
        <a:defRPr sz="1000" b="0" i="0">
          <a:solidFill>
            <a:srgbClr val="000000"/>
          </a:solidFill>
          <a:latin typeface="Arial Cyr"/>
          <a:ea typeface="Arial Cyr"/>
          <a:cs typeface="Arial Cyr"/>
        </a:defRPr>
      </a:pPr>
      <a:endParaRPr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400" b="0" i="0">
                <a:solidFill>
                  <a:srgbClr val="FFFFFF"/>
                </a:solidFill>
                <a:latin typeface="Arial"/>
                <a:ea typeface="Arial"/>
                <a:cs typeface="Arial"/>
              </a:defRPr>
            </a:pPr>
            <a:r>
              <a:rPr>
                <a:solidFill>
                  <a:srgbClr val="000000"/>
                </a:solidFill>
              </a:rPr>
              <a:t>Причины пожаров в городе Перми за  6 месяцев 2025</a:t>
            </a:r>
            <a:endParaRPr/>
          </a:p>
        </c:rich>
      </c:tx>
      <c:layout>
        <c:manualLayout>
          <c:xMode val="edge"/>
          <c:yMode val="edge"/>
          <c:x val="0.174980"/>
          <c:y val="0.041990"/>
        </c:manualLayout>
      </c:layout>
      <c:overlay val="0"/>
    </c:title>
    <c:plotArea>
      <c:layout>
        <c:manualLayout>
          <c:layoutTarget val="inner"/>
          <c:xMode val="edge"/>
          <c:yMode val="edge"/>
          <c:wMode val="factor"/>
          <c:hMode val="factor"/>
          <c:x val="0.346820"/>
          <c:y val="0.334910"/>
          <c:w val="0.306350"/>
          <c:h val="0.418640"/>
        </c:manualLayout>
      </c:layout>
      <c:pieChart>
        <c:varyColors val="1"/>
        <c:ser>
          <c:idx val="1"/>
          <c:order val="0"/>
          <c:tx>
            <c:strRef>
              <c:f>Лист1!$C$30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1"/>
            <c:showLegendKey val="0"/>
            <c:showPercent val="1"/>
            <c:showSerName val="0"/>
            <c:showVal val="0"/>
          </c:dLbls>
          <c:cat>
            <c:strRef>
              <c:f>Лист1!$A$31:$A$39</c:f>
              <c:strCache>
                <c:ptCount val="9"/>
                <c:pt idx="0">
                  <c:v xml:space="preserve">Неосторожное обращение с огнем</c:v>
                </c:pt>
                <c:pt idx="1">
                  <c:v>Поджог</c:v>
                </c:pt>
                <c:pt idx="2">
                  <c:v xml:space="preserve">НПУ и Э электрооборудования</c:v>
                </c:pt>
                <c:pt idx="3">
                  <c:v xml:space="preserve">НПУ и Э печей</c:v>
                </c:pt>
              </c:strCache>
            </c:strRef>
          </c:cat>
          <c:val>
            <c:numRef>
              <c:f>Лист1!$C$31:$C$39</c:f>
              <c:numCache>
                <c:formatCode>General</c:formatCode>
                <c:ptCount val="9"/>
                <c:pt idx="0" formatCode="General">
                  <c:v>335</c:v>
                </c:pt>
                <c:pt idx="1" formatCode="General">
                  <c:v>68</c:v>
                </c:pt>
                <c:pt idx="2" formatCode="_-* #,##0_р_._-;\-* #,##0_р_._-;_-* \-??_р_._-;_-@_-">
                  <c:v>144</c:v>
                </c:pt>
                <c:pt idx="3" formatCode="General">
                  <c:v>30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Chart>
    </c:plotArea>
    <c:plotVisOnly val="1"/>
    <c:dispBlanksAs val="zero"/>
    <c:showDLblsOverMax val="0"/>
  </c:chart>
  <c:spPr bwMode="auto">
    <a:xfrm>
      <a:off x="0" y="0"/>
      <a:ext cx="4788197" cy="4672030"/>
    </a:xfrm>
    <a:prstGeom prst="rect">
      <a:avLst/>
    </a:prstGeom>
    <a:gradFill rotWithShape="0">
      <a:gsLst>
        <a:gs pos="0">
          <a:srgbClr val="CCE0F5"/>
        </a:gs>
        <a:gs pos="100000">
          <a:srgbClr val="0066CC"/>
        </a:gs>
      </a:gsLst>
      <a:lin ang="5400000" scaled="1"/>
    </a:gradFill>
    <a:ln w="3175">
      <a:solidFill>
        <a:srgbClr val="00000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Arial"/>
          <a:ea typeface="Arial"/>
          <a:cs typeface="Arial"/>
        </a:defRPr>
      </a:pPr>
      <a:endParaRPr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200" b="0" i="1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/>
              <a:t>Количество пожаров на 10 тысяч населения, ед. </a:t>
            </a:r>
            <a:br>
              <a:rPr/>
            </a:br>
            <a:r>
              <a:rPr/>
              <a:t>г. Пермь, за 6 месяцев 2026 года</a:t>
            </a:r>
            <a:endParaRPr/>
          </a:p>
        </c:rich>
      </c:tx>
      <c:layout>
        <c:manualLayout>
          <c:xMode val="edge"/>
          <c:yMode val="edge"/>
          <c:x val="0.302900"/>
          <c:y val="0.051920"/>
        </c:manualLayout>
      </c:layout>
      <c:overlay val="0"/>
      <c:spPr bwMode="auto">
        <a:prstGeom prst="rect">
          <a:avLst/>
        </a:prstGeom>
        <a:solidFill>
          <a:srgbClr val="9999FF"/>
        </a:solidFill>
        <a:ln w="3175">
          <a:noFill/>
        </a:ln>
      </c:spPr>
    </c:title>
    <c:view3D>
      <c:rotX val="45"/>
      <c:hPercent val="50"/>
      <c:depthPercent val="100"/>
      <c:rAngAx val="0"/>
      <c:perspective val="0"/>
    </c:view3D>
    <c:floor>
      <c:spPr bwMode="auto">
        <a:prstGeom prst="rect">
          <a:avLst/>
        </a:prstGeom>
        <a:solidFill>
          <a:srgbClr val="C0C0C0"/>
        </a:solidFill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122540"/>
          <c:y val="0.130530"/>
          <c:w val="0.827380"/>
          <c:h val="0.52212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Лист1!$B$41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Лист1!$A$42:$A$49</c:f>
              <c:strCache>
                <c:ptCount val="8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Лист1!$B$42:$B$49</c:f>
              <c:numCache>
                <c:formatCode>General</c:formatCode>
                <c:ptCount val="8"/>
                <c:pt idx="0">
                  <c:v>5.83</c:v>
                </c:pt>
                <c:pt idx="1">
                  <c:v>4.55</c:v>
                </c:pt>
                <c:pt idx="2">
                  <c:v>4.75</c:v>
                </c:pt>
                <c:pt idx="3">
                  <c:v>6.66</c:v>
                </c:pt>
                <c:pt idx="4">
                  <c:v>6.67</c:v>
                </c:pt>
                <c:pt idx="5">
                  <c:v>7.25</c:v>
                </c:pt>
                <c:pt idx="6">
                  <c:v>5.24</c:v>
                </c:pt>
                <c:pt idx="7">
                  <c:v>6.94</c:v>
                </c:pt>
              </c:numCache>
            </c:numRef>
          </c:val>
          <c:shape val="coneToMa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0"/>
        <c:axId val="1866169719"/>
        <c:axId val="1866169720"/>
        <c:axId val="1866169721"/>
      </c:bar3DChart>
      <c:catAx>
        <c:axId val="18661697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 bwMode="auto">
          <a:prstGeom prst="rect">
            <a:avLst/>
          </a:prstGeom>
          <a:ln w="3175">
            <a:solidFill>
              <a:srgbClr val="000000"/>
            </a:solidFill>
            <a:prstDash val="solid"/>
          </a:ln>
        </c:spPr>
        <c:txPr>
          <a:bodyPr rot="-3060000" vert="horz"/>
          <a:p>
            <a:pPr>
              <a:defRPr sz="1000" b="0" i="1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20"/>
        <c:crosses val="autoZero"/>
        <c:lblAlgn val="ctr"/>
        <c:lblOffset val="100"/>
        <c:noMultiLvlLbl val="0"/>
      </c:catAx>
      <c:valAx>
        <c:axId val="1866169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 bwMode="auto">
          <a:prstGeom prst="rect">
            <a:avLst/>
          </a:prstGeom>
          <a:ln w="3175">
            <a:noFill/>
          </a:ln>
        </c:spPr>
        <c:crossAx val="1866169719"/>
        <c:crosses val="autoZero"/>
        <c:crossBetween val="midCat"/>
      </c:valAx>
      <c:serAx>
        <c:axId val="186616972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 bwMode="auto">
          <a:prstGeom prst="rect">
            <a:avLst/>
          </a:prstGeom>
          <a:ln w="3175">
            <a:solidFill>
              <a:srgbClr val="00000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20"/>
        <c:crosses val="autoZero"/>
      </c:serAx>
    </c:plotArea>
    <c:plotVisOnly val="1"/>
    <c:dispBlanksAs val="gap"/>
    <c:showDLblsOverMax val="0"/>
  </c:chart>
  <c:spPr bwMode="auto">
    <a:xfrm>
      <a:off x="0" y="0"/>
      <a:ext cx="8731100" cy="3486863"/>
    </a:xfrm>
    <a:prstGeom prst="rect">
      <a:avLst/>
    </a:prstGeom>
    <a:solidFill>
      <a:srgbClr val="FFFFFF"/>
    </a:solidFill>
    <a:ln w="3175">
      <a:solidFill>
        <a:srgbClr val="00000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Arial"/>
          <a:ea typeface="Arial"/>
          <a:cs typeface="Arial"/>
        </a:defRPr>
      </a:pPr>
      <a:endParaRPr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4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/>
              <a:t>Количество погибших г. Пермь за 6 месяцев 2026</a:t>
            </a:r>
            <a:endParaRPr/>
          </a:p>
        </c:rich>
      </c:tx>
      <c:layout>
        <c:manualLayout>
          <c:xMode val="edge"/>
          <c:yMode val="edge"/>
          <c:x val="0.221810"/>
          <c:y val="0.034770"/>
        </c:manualLayout>
      </c:layout>
      <c:overlay val="0"/>
    </c:title>
    <c:plotArea>
      <c:layout>
        <c:manualLayout>
          <c:layoutTarget val="inner"/>
          <c:xMode val="edge"/>
          <c:yMode val="edge"/>
          <c:wMode val="factor"/>
          <c:hMode val="factor"/>
          <c:x val="0.049240"/>
          <c:y val="0.138730"/>
          <c:w val="0.721960"/>
          <c:h val="0.387380"/>
        </c:manualLayout>
      </c:layout>
      <c:barChart>
        <c:barDir val="col"/>
        <c:grouping val="standar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4586"/>
            </a:solidFill>
            <a:ln w="12700">
              <a:solidFill>
                <a:srgbClr val="000000"/>
              </a:solidFill>
              <a:prstDash val="solid"/>
            </a:ln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Лист1!$A$31:$A$39</c:f>
              <c:strCache>
                <c:ptCount val="9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 xml:space="preserve">Свердловский и п. Новые Ляды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Лист1!$B$31:$B$39</c:f>
              <c:numCache>
                <c:formatCode>General</c:formatCode>
                <c:ptCount val="9"/>
                <c:pt idx="0">
                  <c:v>17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420E"/>
            </a:solidFill>
            <a:ln w="12700">
              <a:solidFill>
                <a:srgbClr val="000000"/>
              </a:solidFill>
              <a:prstDash val="solid"/>
            </a:ln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Лист1!$A$31:$A$39</c:f>
              <c:strCache>
                <c:ptCount val="9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 xml:space="preserve">Свердловский и п. Новые Ляды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Лист1!$C$31:$C$39</c:f>
              <c:numCache>
                <c:formatCode>General</c:formatCode>
                <c:ptCount val="9"/>
                <c:pt idx="0">
                  <c:v>15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866169714"/>
        <c:axId val="1866169715"/>
      </c:barChart>
      <c:catAx>
        <c:axId val="186616971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B3B3B3"/>
            </a:solidFill>
            <a:prstDash val="solid"/>
          </a:ln>
        </c:spPr>
        <c:txPr>
          <a:bodyPr rot="-4560000" vert="horz"/>
          <a:p>
            <a:pPr>
              <a:defRPr sz="1000" b="1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15"/>
        <c:crosses val="autoZero"/>
        <c:lblAlgn val="ctr"/>
        <c:lblOffset val="100"/>
        <c:noMultiLvlLbl val="0"/>
      </c:catAx>
      <c:valAx>
        <c:axId val="1866169715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B3B3B3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B3B3B3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14"/>
        <c:crosses val="autoZero"/>
        <c:crossBetween val="midCat"/>
      </c:valAx>
      <c:spPr bwMode="auto">
        <a:prstGeom prst="rect">
          <a:avLst/>
        </a:prstGeom>
        <a:noFill/>
        <a:ln w="3175">
          <a:solidFill>
            <a:srgbClr val="B3B3B3"/>
          </a:solidFill>
          <a:prstDash val="solid"/>
        </a:ln>
      </c:spPr>
    </c:plotArea>
    <c:legend>
      <c:layout>
        <c:manualLayout>
          <c:xMode val="edge"/>
          <c:yMode val="edge"/>
          <c:wMode val="edge"/>
          <c:hMode val="edge"/>
          <c:x val="0.839340"/>
          <c:y val="0.362610"/>
          <c:w val="0.921920"/>
          <c:h val="0.46171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900" b="0" i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7028653" cy="3538555"/>
    </a:xfrm>
    <a:prstGeom prst="rect">
      <a:avLst/>
    </a:prstGeom>
    <a:solidFill>
      <a:srgbClr val="FFFFFF"/>
    </a:solidFill>
    <a:ln w="3175">
      <a:noFill/>
    </a:ln>
  </c:spPr>
  <c:txPr>
    <a:bodyPr rot="0" vert="horz"/>
    <a:lstStyle/>
    <a:p>
      <a:pPr>
        <a:defRPr sz="1000" b="0" i="0">
          <a:solidFill>
            <a:srgbClr val="000000"/>
          </a:solidFill>
          <a:latin typeface="Arial Cyr"/>
          <a:ea typeface="Arial Cyr"/>
          <a:cs typeface="Arial Cyr"/>
        </a:defRPr>
      </a:pPr>
      <a:endParaRPr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200" b="0" i="1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/>
              <a:t>Количество погибших на 10 тысяч населения, ед.</a:t>
            </a:r>
            <a:br>
              <a:rPr/>
            </a:br>
            <a:r>
              <a:rPr/>
              <a:t>г. Пермь, за 6 месяцев 2026 год</a:t>
            </a:r>
            <a:endParaRPr/>
          </a:p>
        </c:rich>
      </c:tx>
      <c:layout>
        <c:manualLayout>
          <c:xMode val="edge"/>
          <c:yMode val="edge"/>
          <c:x val="0.299700"/>
          <c:y val="0.038490"/>
        </c:manualLayout>
      </c:layout>
      <c:overlay val="0"/>
    </c:title>
    <c:view3D>
      <c:rotX val="45"/>
      <c:hPercent val="50"/>
      <c:depthPercent val="100"/>
      <c:rAngAx val="0"/>
      <c:perspective val="0"/>
    </c:view3D>
    <c:floor>
      <c:spPr bwMode="auto">
        <a:prstGeom prst="rect">
          <a:avLst/>
        </a:prstGeom>
        <a:solidFill>
          <a:srgbClr val="C0C0C0"/>
        </a:solidFill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139370"/>
          <c:y val="0.166030"/>
          <c:w val="0.781640"/>
          <c:h val="0.50596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Лист1!$B$54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Лист1!$A$55:$A$62</c:f>
              <c:strCache>
                <c:ptCount val="8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Лист1!$B$55:$B$62</c:f>
              <c:numCache>
                <c:formatCode>General</c:formatCode>
                <c:ptCount val="8"/>
                <c:pt idx="0">
                  <c:v>0.15</c:v>
                </c:pt>
                <c:pt idx="1">
                  <c:v>0.17</c:v>
                </c:pt>
                <c:pt idx="2">
                  <c:v>0.18</c:v>
                </c:pt>
                <c:pt idx="3">
                  <c:v>0.08</c:v>
                </c:pt>
                <c:pt idx="4">
                  <c:v>0.22</c:v>
                </c:pt>
                <c:pt idx="5">
                  <c:v>0.22</c:v>
                </c:pt>
                <c:pt idx="6">
                  <c:v>0.09</c:v>
                </c:pt>
                <c:pt idx="7">
                  <c:v>0.09</c:v>
                </c:pt>
              </c:numCache>
            </c:numRef>
          </c:val>
          <c:shape val="coneToMa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0"/>
        <c:axId val="1866169716"/>
        <c:axId val="1866169717"/>
        <c:axId val="1866169718"/>
      </c:bar3DChart>
      <c:catAx>
        <c:axId val="18661697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 bwMode="auto">
          <a:prstGeom prst="rect">
            <a:avLst/>
          </a:prstGeom>
          <a:ln w="3175">
            <a:solidFill>
              <a:srgbClr val="000000"/>
            </a:solidFill>
            <a:prstDash val="solid"/>
          </a:ln>
        </c:spPr>
        <c:txPr>
          <a:bodyPr rot="-2820000" vert="horz"/>
          <a:p>
            <a:pPr>
              <a:defRPr sz="1150" b="0" i="1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17"/>
        <c:crosses val="autoZero"/>
        <c:lblAlgn val="ctr"/>
        <c:lblOffset val="100"/>
        <c:noMultiLvlLbl val="0"/>
      </c:catAx>
      <c:valAx>
        <c:axId val="186616971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 bwMode="auto">
          <a:prstGeom prst="rect">
            <a:avLst/>
          </a:prstGeom>
          <a:ln w="3175">
            <a:noFill/>
          </a:ln>
        </c:spPr>
        <c:crossAx val="1866169716"/>
        <c:crosses val="autoZero"/>
        <c:crossBetween val="midCat"/>
      </c:valAx>
      <c:serAx>
        <c:axId val="186616971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 bwMode="auto">
          <a:prstGeom prst="rect">
            <a:avLst/>
          </a:prstGeom>
          <a:ln w="3175">
            <a:solidFill>
              <a:srgbClr val="000000"/>
            </a:solidFill>
            <a:prstDash val="solid"/>
          </a:ln>
        </c:spPr>
        <c:txPr>
          <a:bodyPr rot="0" vert="horz"/>
          <a:p>
            <a:pPr>
              <a:defRPr sz="105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17"/>
        <c:crosses val="autoZero"/>
      </c:serAx>
    </c:plotArea>
    <c:plotVisOnly val="1"/>
    <c:dispBlanksAs val="gap"/>
    <c:showDLblsOverMax val="0"/>
  </c:chart>
  <c:spPr bwMode="auto">
    <a:xfrm>
      <a:off x="0" y="0"/>
      <a:ext cx="8335162" cy="3924450"/>
    </a:xfrm>
    <a:prstGeom prst="rect">
      <a:avLst/>
    </a:prstGeom>
    <a:solidFill>
      <a:srgbClr val="FFFFFF"/>
    </a:solidFill>
    <a:ln w="3175">
      <a:solidFill>
        <a:srgbClr val="000000"/>
      </a:solidFill>
      <a:prstDash val="solid"/>
    </a:ln>
  </c:spPr>
  <c:txPr>
    <a:bodyPr rot="0" vert="horz"/>
    <a:lstStyle/>
    <a:p>
      <a:pPr>
        <a:defRPr sz="1050" b="0" i="0">
          <a:solidFill>
            <a:srgbClr val="000000"/>
          </a:solidFill>
          <a:latin typeface="Arial"/>
          <a:ea typeface="Arial"/>
          <a:cs typeface="Arial"/>
        </a:defRPr>
      </a:pPr>
      <a:endParaRPr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4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/>
              <a:t>Количество травмированных г. Пермь за 6 месяцев 2026 года</a:t>
            </a:r>
            <a:endParaRPr/>
          </a:p>
        </c:rich>
      </c:tx>
      <c:layout>
        <c:manualLayout>
          <c:xMode val="edge"/>
          <c:yMode val="edge"/>
          <c:x val="0.143650"/>
          <c:y val="0.035330"/>
        </c:manualLayout>
      </c:layout>
      <c:overlay val="0"/>
    </c:title>
    <c:plotArea>
      <c:layout>
        <c:manualLayout>
          <c:layoutTarget val="inner"/>
          <c:xMode val="edge"/>
          <c:yMode val="edge"/>
          <c:wMode val="factor"/>
          <c:hMode val="factor"/>
          <c:x val="0.147530"/>
          <c:y val="0.146490"/>
          <c:w val="0.765300"/>
          <c:h val="0.565530"/>
        </c:manualLayout>
      </c:layout>
      <c:barChart>
        <c:barDir val="col"/>
        <c:grouping val="standar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4586"/>
            </a:solidFill>
            <a:ln w="12700">
              <a:solidFill>
                <a:srgbClr val="000000"/>
              </a:solidFill>
              <a:prstDash val="solid"/>
            </a:ln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Лист1!$A$31:$A$40</c:f>
              <c:strCache>
                <c:ptCount val="10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Лист1!$B$31:$B$40</c:f>
              <c:numCache>
                <c:formatCode>General</c:formatCode>
                <c:ptCount val="10"/>
                <c:pt idx="0" formatCode="General">
                  <c:v>39</c:v>
                </c:pt>
                <c:pt idx="1" formatCode="General">
                  <c:v>3</c:v>
                </c:pt>
                <c:pt idx="2" formatCode="#,##0_ ;\-#,##0\ ">
                  <c:v>2</c:v>
                </c:pt>
                <c:pt idx="3" formatCode="General">
                  <c:v>7</c:v>
                </c:pt>
                <c:pt idx="4" formatCode="#,##0_ ;\-#,##0\ ">
                  <c:v>2</c:v>
                </c:pt>
                <c:pt idx="5" formatCode="_-* #,##0_р_._-;\-* #,##0_р_._-;_-* \-??_р_._-;_-@_-">
                  <c:v>6</c:v>
                </c:pt>
                <c:pt idx="6" formatCode="General">
                  <c:v>10</c:v>
                </c:pt>
                <c:pt idx="7" formatCode="General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420E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rot="0" vert="horz"/>
                <a:lstStyle/>
                <a:p>
                  <a:pPr>
                    <a:defRPr sz="1200" b="0" i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/>
                </a:p>
              </c:txPr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Лист1!$A$31:$A$40</c:f>
              <c:strCache>
                <c:ptCount val="10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Лист1!$C$31:$C$40</c:f>
              <c:numCache>
                <c:formatCode>General</c:formatCode>
                <c:ptCount val="10"/>
                <c:pt idx="0" formatCode="General">
                  <c:v>45</c:v>
                </c:pt>
                <c:pt idx="1" formatCode="General">
                  <c:v>2</c:v>
                </c:pt>
                <c:pt idx="2" formatCode="#,##0_ ;\-#,##0\ ">
                  <c:v>4</c:v>
                </c:pt>
                <c:pt idx="3" formatCode="General">
                  <c:v>4</c:v>
                </c:pt>
                <c:pt idx="4" formatCode="#,##0_ ;\-#,##0\ ">
                  <c:v>0</c:v>
                </c:pt>
                <c:pt idx="5" formatCode="_-* #,##0_р_._-;\-* #,##0_р_._-;_-* \-??_р_._-;_-@_-">
                  <c:v>14</c:v>
                </c:pt>
                <c:pt idx="6" formatCode="General">
                  <c:v>18</c:v>
                </c:pt>
                <c:pt idx="7" formatCode="General">
                  <c:v>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866169722"/>
        <c:axId val="1866169723"/>
      </c:barChart>
      <c:catAx>
        <c:axId val="186616972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B3B3B3"/>
            </a:solidFill>
            <a:prstDash val="solid"/>
          </a:ln>
        </c:spPr>
        <c:txPr>
          <a:bodyPr rot="-4560000" vert="horz"/>
          <a:p>
            <a:pPr>
              <a:defRPr sz="1000" b="1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23"/>
        <c:crosses val="autoZero"/>
        <c:lblAlgn val="ctr"/>
        <c:lblOffset val="100"/>
        <c:noMultiLvlLbl val="0"/>
      </c:catAx>
      <c:valAx>
        <c:axId val="1866169723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B3B3B3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solidFill>
            <a:srgbClr val="002060"/>
          </a:solidFill>
          <a:ln w="3175">
            <a:solidFill>
              <a:srgbClr val="B3B3B3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22"/>
        <c:crosses val="autoZero"/>
        <c:crossBetween val="midCat"/>
      </c:valAx>
      <c:spPr bwMode="auto">
        <a:prstGeom prst="rect">
          <a:avLst/>
        </a:prstGeom>
        <a:noFill/>
        <a:ln w="3175">
          <a:solidFill>
            <a:srgbClr val="B3B3B3"/>
          </a:solidFill>
          <a:prstDash val="solid"/>
        </a:ln>
      </c:spPr>
    </c:plotArea>
    <c:legend>
      <c:layout>
        <c:manualLayout>
          <c:xMode val="edge"/>
          <c:yMode val="edge"/>
          <c:wMode val="edge"/>
          <c:hMode val="edge"/>
          <c:x val="0.833570"/>
          <c:y val="0.397050"/>
          <c:w val="0.911800"/>
          <c:h val="0.477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900" b="0" i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6849366" cy="5016205"/>
    </a:xfrm>
    <a:prstGeom prst="rect">
      <a:avLst/>
    </a:prstGeom>
    <a:solidFill>
      <a:srgbClr val="FFFFFF"/>
    </a:solidFill>
    <a:ln w="3175">
      <a:noFill/>
    </a:ln>
  </c:spPr>
  <c:txPr>
    <a:bodyPr rot="0" vert="horz"/>
    <a:lstStyle/>
    <a:p>
      <a:pPr>
        <a:defRPr sz="1000" b="0" i="0">
          <a:solidFill>
            <a:srgbClr val="000000"/>
          </a:solidFill>
          <a:latin typeface="Arial Cyr"/>
          <a:ea typeface="Arial Cyr"/>
          <a:cs typeface="Arial Cyr"/>
        </a:defRPr>
      </a:pPr>
      <a:endParaRPr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200" b="0" i="1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/>
              <a:t>Количество травмированных на 10 тысяч , ед.</a:t>
            </a:r>
            <a:br>
              <a:rPr/>
            </a:br>
            <a:r>
              <a:rPr/>
              <a:t>г. Пермь, за 6 месяцев 2026 года</a:t>
            </a:r>
            <a:endParaRPr/>
          </a:p>
        </c:rich>
      </c:tx>
      <c:layout>
        <c:manualLayout>
          <c:xMode val="edge"/>
          <c:yMode val="edge"/>
          <c:x val="0.306880"/>
          <c:y val="0.037860"/>
        </c:manualLayout>
      </c:layout>
      <c:overlay val="0"/>
      <c:spPr bwMode="auto">
        <a:prstGeom prst="rect">
          <a:avLst/>
        </a:prstGeom>
        <a:solidFill>
          <a:srgbClr val="9999FF"/>
        </a:solidFill>
        <a:ln w="3175">
          <a:noFill/>
        </a:ln>
      </c:spPr>
    </c:title>
    <c:view3D>
      <c:rotX val="45"/>
      <c:hPercent val="50"/>
      <c:depthPercent val="100"/>
      <c:rAngAx val="0"/>
      <c:perspective val="0"/>
    </c:view3D>
    <c:floor>
      <c:spPr bwMode="auto">
        <a:prstGeom prst="rect">
          <a:avLst/>
        </a:prstGeom>
        <a:solidFill>
          <a:srgbClr val="C0C0C0"/>
        </a:solidFill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131720"/>
          <c:y val="0.169740"/>
          <c:w val="0.805810"/>
          <c:h val="0.50000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Лист1!$A$53:$A$60</c:f>
              <c:strCache>
                <c:ptCount val="8"/>
                <c:pt idx="0">
                  <c:v>г.Пермь</c:v>
                </c:pt>
                <c:pt idx="1">
                  <c:v>Дзержинский</c:v>
                </c:pt>
                <c:pt idx="2">
                  <c:v>Индустриальный</c:v>
                </c:pt>
                <c:pt idx="3">
                  <c:v>Кировский</c:v>
                </c:pt>
                <c:pt idx="4">
                  <c:v>Ленинский</c:v>
                </c:pt>
                <c:pt idx="5">
                  <c:v>Мотовилихинский</c:v>
                </c:pt>
                <c:pt idx="6">
                  <c:v>Свердловский</c:v>
                </c:pt>
                <c:pt idx="7">
                  <c:v>Орджоникидзевский</c:v>
                </c:pt>
              </c:strCache>
            </c:strRef>
          </c:cat>
          <c:val>
            <c:numRef>
              <c:f>Лист1!$B$53:$B$60</c:f>
              <c:numCache>
                <c:formatCode>General</c:formatCode>
                <c:ptCount val="8"/>
                <c:pt idx="0">
                  <c:v>0.44</c:v>
                </c:pt>
                <c:pt idx="1">
                  <c:v>0.12</c:v>
                </c:pt>
                <c:pt idx="2">
                  <c:v>0.24</c:v>
                </c:pt>
                <c:pt idx="3">
                  <c:v>0.31</c:v>
                </c:pt>
                <c:pt idx="4">
                  <c:v>0</c:v>
                </c:pt>
                <c:pt idx="5">
                  <c:v>0.76</c:v>
                </c:pt>
                <c:pt idx="6">
                  <c:v>0.84</c:v>
                </c:pt>
                <c:pt idx="7">
                  <c:v>0.26</c:v>
                </c:pt>
              </c:numCache>
            </c:numRef>
          </c:val>
          <c:shape val="coneToMa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0"/>
        <c:axId val="1866169724"/>
        <c:axId val="1866169725"/>
        <c:axId val="1866169726"/>
      </c:bar3DChart>
      <c:catAx>
        <c:axId val="18661697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 bwMode="auto">
          <a:prstGeom prst="rect">
            <a:avLst/>
          </a:prstGeom>
          <a:ln w="3175">
            <a:solidFill>
              <a:srgbClr val="000000"/>
            </a:solidFill>
            <a:prstDash val="solid"/>
          </a:ln>
        </c:spPr>
        <c:txPr>
          <a:bodyPr rot="-2820000" vert="horz"/>
          <a:p>
            <a:pPr>
              <a:defRPr sz="1150" b="0" i="1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25"/>
        <c:crosses val="autoZero"/>
        <c:lblAlgn val="ctr"/>
        <c:lblOffset val="100"/>
        <c:noMultiLvlLbl val="0"/>
      </c:catAx>
      <c:valAx>
        <c:axId val="186616972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 bwMode="auto">
          <a:prstGeom prst="rect">
            <a:avLst/>
          </a:prstGeom>
          <a:ln w="3175">
            <a:noFill/>
          </a:ln>
        </c:spPr>
        <c:crossAx val="1866169724"/>
        <c:crosses val="autoZero"/>
        <c:crossBetween val="midCat"/>
      </c:valAx>
      <c:serAx>
        <c:axId val="186616972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 bwMode="auto">
          <a:prstGeom prst="rect">
            <a:avLst/>
          </a:prstGeom>
          <a:ln w="3175">
            <a:solidFill>
              <a:srgbClr val="000000"/>
            </a:solidFill>
            <a:prstDash val="solid"/>
          </a:ln>
        </c:spPr>
        <c:txPr>
          <a:bodyPr rot="0" vert="horz"/>
          <a:p>
            <a:pPr>
              <a:defRPr sz="105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/>
          </a:p>
        </c:txPr>
        <c:crossAx val="1866169725"/>
        <c:crosses val="autoZero"/>
      </c:serAx>
    </c:plotArea>
    <c:plotVisOnly val="1"/>
    <c:dispBlanksAs val="gap"/>
    <c:showDLblsOverMax val="0"/>
  </c:chart>
  <c:spPr bwMode="auto">
    <a:xfrm>
      <a:off x="0" y="0"/>
      <a:ext cx="8532784" cy="4242672"/>
    </a:xfrm>
    <a:prstGeom prst="rect">
      <a:avLst/>
    </a:prstGeom>
    <a:solidFill>
      <a:srgbClr val="FFFFFF"/>
    </a:solidFill>
    <a:ln w="3175">
      <a:solidFill>
        <a:srgbClr val="000000"/>
      </a:solidFill>
      <a:prstDash val="solid"/>
    </a:ln>
  </c:spPr>
  <c:txPr>
    <a:bodyPr rot="0" vert="horz"/>
    <a:lstStyle/>
    <a:p>
      <a:pPr>
        <a:defRPr sz="1050" b="0" i="0">
          <a:solidFill>
            <a:srgbClr val="000000"/>
          </a:solidFill>
          <a:latin typeface="Arial"/>
          <a:ea typeface="Arial"/>
          <a:cs typeface="Arial"/>
        </a:defRPr>
      </a:pPr>
      <a:endParaRPr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400" b="1"/>
            </a:pPr>
            <a:r>
              <a:rPr sz="1400" b="1">
                <a:latin typeface="Times New Roman"/>
                <a:ea typeface="Times New Roman"/>
                <a:cs typeface="Times New Roman"/>
              </a:rPr>
              <a:t>Основные объекты пожаров по г. Перми,</a:t>
            </a:r>
            <a:br>
              <a:rPr sz="1400" b="1">
                <a:latin typeface="Times New Roman"/>
                <a:ea typeface="Times New Roman"/>
                <a:cs typeface="Times New Roman"/>
              </a:rPr>
            </a:br>
            <a:r>
              <a:rPr sz="1400" b="1">
                <a:latin typeface="Times New Roman"/>
                <a:ea typeface="Times New Roman"/>
                <a:cs typeface="Times New Roman"/>
              </a:rPr>
              <a:t> за 6 месяцев  2026 г.</a:t>
            </a:r>
            <a:endParaRPr sz="1400" b="1">
              <a:latin typeface="Times New Roman"/>
              <a:cs typeface="Times New Roman"/>
            </a:endParaRPr>
          </a:p>
        </c:rich>
      </c:tx>
      <c:layout>
        <c:manualLayout>
          <c:xMode val="edge"/>
          <c:yMode val="edge"/>
          <c:x val="0.113520"/>
          <c:y val="0.036880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1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view3D>
      <c:rotX val="30"/>
      <c:rotY val="0"/>
      <c:depthPercent val="100"/>
      <c:rAngAx val="0"/>
    </c:view3D>
    <c:floor>
      <c:spPr bwMode="auto">
        <a:prstGeom prst="rect">
          <a:avLst/>
        </a:prstGeom>
        <a:noFill/>
        <a:ln>
          <a:noFill/>
        </a:ln>
      </c:spPr>
    </c:floor>
    <c:sideWall>
      <c:spPr bwMode="auto">
        <a:prstGeom prst="rect">
          <a:avLst/>
        </a:prstGeom>
        <a:noFill/>
        <a:ln>
          <a:noFill/>
        </a:ln>
      </c:spPr>
    </c:sideWall>
    <c:backWall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12600"/>
          <c:y val="0.393280"/>
          <c:w val="0.519730"/>
          <c:h val="0.284050"/>
        </c:manualLayout>
      </c:layout>
      <c:pie3DChart>
        <c:varyColors val="1"/>
        <c:ser>
          <c:idx val="0"/>
          <c:order val="0"/>
          <c:tx>
            <c:strRef>
              <c:f>Лист1!$B$30</c:f>
              <c:strCache>
                <c:ptCount val="1"/>
                <c:pt idx="0">
                  <c:v>2026</c:v>
                </c:pt>
              </c:strCache>
            </c:strRef>
          </c:tx>
          <c:explosion val="25"/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showBubbleSize val="0"/>
            <c:showCatName val="0"/>
            <c:showLeaderLines val="1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Лист1!$A$31:$A$35</c:f>
              <c:strCache>
                <c:ptCount val="5"/>
                <c:pt idx="0">
                  <c:v xml:space="preserve">Жилой сектор</c:v>
                </c:pt>
                <c:pt idx="1">
                  <c:v>Транспорт</c:v>
                </c:pt>
                <c:pt idx="2">
                  <c:v xml:space="preserve">Места открытого хранения веществ</c:v>
                </c:pt>
                <c:pt idx="3">
                  <c:v xml:space="preserve">Неэксплуатируемые здания</c:v>
                </c:pt>
                <c:pt idx="4">
                  <c:v xml:space="preserve">Здания, помещения производственного назначения</c:v>
                </c:pt>
              </c:strCache>
            </c:strRef>
          </c:cat>
          <c:val>
            <c:numRef>
              <c:f>Лист1!$B$31:$B$35</c:f>
              <c:numCache>
                <c:formatCode>General</c:formatCode>
                <c:ptCount val="5"/>
                <c:pt idx="0">
                  <c:v>284</c:v>
                </c:pt>
                <c:pt idx="1">
                  <c:v>35</c:v>
                </c:pt>
                <c:pt idx="2">
                  <c:v>136</c:v>
                </c:pt>
                <c:pt idx="3">
                  <c:v>79</c:v>
                </c:pt>
                <c:pt idx="4">
                  <c:v>12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479390"/>
          <c:y val="0.285090"/>
          <c:w val="0.384750"/>
          <c:h val="0.69563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zero"/>
    <c:showDLblsOverMax val="0"/>
  </c:chart>
  <c:spPr bwMode="auto">
    <a:xfrm>
      <a:off x="0" y="0"/>
      <a:ext cx="4657747" cy="358271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 rot="0" vert="horz"/>
    <a:lstStyle/>
    <a:p>
      <a:pPr>
        <a:defRPr sz="9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>
                <a:latin typeface="Times New Roman"/>
                <a:ea typeface="Times New Roman"/>
                <a:cs typeface="Times New Roman"/>
              </a:defRPr>
            </a:pPr>
            <a:r>
              <a:rPr b="1">
                <a:latin typeface="Times New Roman"/>
                <a:ea typeface="Times New Roman"/>
                <a:cs typeface="Times New Roman"/>
              </a:rPr>
              <a:t>Основные объекты пожаров по г. Перми,</a:t>
            </a:r>
            <a:br>
              <a:rPr b="1">
                <a:latin typeface="Times New Roman"/>
                <a:ea typeface="Times New Roman"/>
                <a:cs typeface="Times New Roman"/>
              </a:rPr>
            </a:br>
            <a:r>
              <a:rPr b="1">
                <a:latin typeface="Times New Roman"/>
                <a:ea typeface="Times New Roman"/>
                <a:cs typeface="Times New Roman"/>
              </a:rPr>
              <a:t>за 6 месяцев  2025 г.</a:t>
            </a:r>
            <a:endParaRPr b="1">
              <a:latin typeface="Times New Roman"/>
              <a:cs typeface="Times New Roman"/>
            </a:endParaRPr>
          </a:p>
        </c:rich>
      </c:tx>
      <c:layout>
        <c:manualLayout>
          <c:xMode val="edge"/>
          <c:yMode val="edge"/>
          <c:x val="0.151810"/>
          <c:y val="0.047950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Times New Roman"/>
              <a:cs typeface="Times New Roman"/>
            </a:defRPr>
          </a:pPr>
          <a:endParaRPr/>
        </a:p>
      </c:txPr>
    </c:title>
    <c:view3D>
      <c:rotX val="30"/>
      <c:rotY val="0"/>
      <c:depthPercent val="100"/>
      <c:rAngAx val="0"/>
    </c:view3D>
    <c:floor>
      <c:spPr bwMode="auto">
        <a:prstGeom prst="rect">
          <a:avLst/>
        </a:prstGeom>
        <a:noFill/>
        <a:ln>
          <a:noFill/>
        </a:ln>
      </c:spPr>
    </c:floor>
    <c:sideWall>
      <c:spPr bwMode="auto">
        <a:prstGeom prst="rect">
          <a:avLst/>
        </a:prstGeom>
        <a:noFill/>
        <a:ln>
          <a:noFill/>
        </a:ln>
      </c:spPr>
    </c:sideWall>
    <c:backWall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18480"/>
          <c:y val="0.374150"/>
          <c:w val="0.586920"/>
          <c:h val="0.339800"/>
        </c:manualLayout>
      </c:layout>
      <c:pie3DChart>
        <c:varyColors val="1"/>
        <c:ser>
          <c:idx val="0"/>
          <c:order val="0"/>
          <c:tx>
            <c:strRef>
              <c:f>Лист1!$B$37</c:f>
              <c:strCache>
                <c:ptCount val="1"/>
                <c:pt idx="0">
                  <c:v>2025</c:v>
                </c:pt>
              </c:strCache>
            </c:strRef>
          </c:tx>
          <c:explosion val="25"/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showBubbleSize val="0"/>
            <c:showCatName val="0"/>
            <c:showLeaderLines val="1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Лист1!$A$38:$A$42</c:f>
              <c:strCache>
                <c:ptCount val="5"/>
                <c:pt idx="0">
                  <c:v xml:space="preserve">Жилой сектор</c:v>
                </c:pt>
                <c:pt idx="1">
                  <c:v>Транспорт</c:v>
                </c:pt>
                <c:pt idx="2">
                  <c:v xml:space="preserve">Места открытого хранения веществ</c:v>
                </c:pt>
                <c:pt idx="3">
                  <c:v xml:space="preserve">Неэксплуатируемые здания</c:v>
                </c:pt>
                <c:pt idx="4">
                  <c:v xml:space="preserve">Здания, помещения производственного назначения</c:v>
                </c:pt>
              </c:strCache>
            </c:strRef>
          </c:cat>
          <c:val>
            <c:numRef>
              <c:f>Лист1!$B$38:$B$42</c:f>
              <c:numCache>
                <c:formatCode>General</c:formatCode>
                <c:ptCount val="5"/>
                <c:pt idx="0">
                  <c:v>228</c:v>
                </c:pt>
                <c:pt idx="1">
                  <c:v>48</c:v>
                </c:pt>
                <c:pt idx="2">
                  <c:v>178</c:v>
                </c:pt>
                <c:pt idx="3">
                  <c:v>99</c:v>
                </c:pt>
                <c:pt idx="4">
                  <c:v>12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529570"/>
          <c:y val="0.278390"/>
          <c:w val="0.358050"/>
          <c:h val="0.696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zero"/>
    <c:showDLblsOverMax val="0"/>
  </c:chart>
  <c:spPr bwMode="auto">
    <a:xfrm>
      <a:off x="0" y="0"/>
      <a:ext cx="4724399" cy="358271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 rot="0" vert="horz"/>
    <a:lstStyle/>
    <a:p>
      <a:pPr>
        <a:defRPr sz="9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vert="horz"/>
          <a:p>
            <a:pPr>
              <a:defRPr sz="1400" b="0" i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r>
              <a:rPr>
                <a:solidFill>
                  <a:schemeClr val="tx1"/>
                </a:solidFill>
              </a:rPr>
              <a:t>Причины пожаров в городе Перми </a:t>
            </a:r>
            <a:endParaRPr>
              <a:solidFill>
                <a:schemeClr val="tx1"/>
              </a:solidFill>
            </a:endParaRPr>
          </a:p>
          <a:p>
            <a:pPr>
              <a:defRPr sz="1400" b="0" i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r>
              <a:rPr>
                <a:solidFill>
                  <a:schemeClr val="tx1"/>
                </a:solidFill>
              </a:rPr>
              <a:t>за 6 месяцев 2026</a:t>
            </a:r>
            <a:endParaRPr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72620"/>
          <c:y val="0.040060"/>
        </c:manualLayout>
      </c:layout>
      <c:overlay val="0"/>
      <c:txPr>
        <a:bodyPr/>
        <a:p>
          <a:pPr>
            <a:defRPr>
              <a:solidFill>
                <a:schemeClr val="tx1"/>
              </a:solidFill>
            </a:defRPr>
          </a:pPr>
          <a:endParaRPr/>
        </a:p>
      </c:txPr>
    </c:title>
    <c:plotArea>
      <c:layout>
        <c:manualLayout>
          <c:layoutTarget val="inner"/>
          <c:xMode val="edge"/>
          <c:yMode val="edge"/>
          <c:wMode val="factor"/>
          <c:hMode val="factor"/>
          <c:x val="0.346820"/>
          <c:y val="0.334910"/>
          <c:w val="0.306350"/>
          <c:h val="0.418640"/>
        </c:manualLayout>
      </c:layout>
      <c:pieChart>
        <c:varyColors val="1"/>
        <c:ser>
          <c:idx val="1"/>
          <c:order val="0"/>
          <c:tx>
            <c:strRef>
              <c:f>Лист1!$C$30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marker>
              <c:symbol val="diamond"/>
              <c:size val="5"/>
              <c:spPr bwMode="auto">
                <a:prstGeom prst="rect">
                  <a:avLst/>
                </a:prstGeom>
                <a:solidFill>
                  <a:srgbClr val="FF00FF"/>
                </a:solidFill>
                <a:ln/>
              </c:spPr>
            </c:marker>
            <c:explosion val="25"/>
            <c:spPr bwMode="auto">
              <a:prstGeom prst="rect">
                <a:avLst/>
              </a:prstGeom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1"/>
            <c:showLegendKey val="0"/>
            <c:showPercent val="1"/>
            <c:showSerName val="0"/>
            <c:showVal val="0"/>
          </c:dLbls>
          <c:cat>
            <c:strRef>
              <c:f>Лист1!$A$31:$A$39</c:f>
              <c:strCache>
                <c:ptCount val="9"/>
                <c:pt idx="0">
                  <c:v xml:space="preserve">Неосторожное обращение с огнем</c:v>
                </c:pt>
                <c:pt idx="1">
                  <c:v>Поджог</c:v>
                </c:pt>
                <c:pt idx="2">
                  <c:v xml:space="preserve">НПУ и Э электрооборудования</c:v>
                </c:pt>
                <c:pt idx="3">
                  <c:v xml:space="preserve">НПУ и Э печей</c:v>
                </c:pt>
              </c:strCache>
            </c:strRef>
          </c:cat>
          <c:val>
            <c:numRef>
              <c:f>Лист1!$C$31:$C$39</c:f>
              <c:numCache>
                <c:formatCode>General</c:formatCode>
                <c:ptCount val="9"/>
                <c:pt idx="0" formatCode="General">
                  <c:v>307</c:v>
                </c:pt>
                <c:pt idx="1" formatCode="General">
                  <c:v>47</c:v>
                </c:pt>
                <c:pt idx="2" formatCode="_-* #,##0_р_._-;\-* #,##0_р_._-;_-* \-??_р_._-;_-@_-">
                  <c:v>172</c:v>
                </c:pt>
                <c:pt idx="3" formatCode="General">
                  <c:v>43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Chart>
    </c:plotArea>
    <c:plotVisOnly val="1"/>
    <c:dispBlanksAs val="zero"/>
    <c:showDLblsOverMax val="0"/>
  </c:chart>
  <c:spPr bwMode="auto">
    <a:xfrm>
      <a:off x="0" y="0"/>
      <a:ext cx="4483812" cy="4672030"/>
    </a:xfrm>
    <a:prstGeom prst="rect">
      <a:avLst/>
    </a:prstGeom>
    <a:gradFill rotWithShape="0">
      <a:gsLst>
        <a:gs pos="0">
          <a:srgbClr val="CCE0F5"/>
        </a:gs>
        <a:gs pos="100000">
          <a:srgbClr val="0066CC"/>
        </a:gs>
      </a:gsLst>
      <a:lin ang="5400000" scaled="1"/>
    </a:gradFill>
    <a:ln w="3175">
      <a:solidFill>
        <a:srgbClr val="00000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Arial"/>
          <a:ea typeface="Arial"/>
          <a:cs typeface="Arial"/>
        </a:defRPr>
      </a:pPr>
      <a:endParaRPr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Разинская Елизавета Владимировна</dc:creator>
  <cp:revision>80</cp:revision>
  <dcterms:created xsi:type="dcterms:W3CDTF">2022-06-17T10:36:00Z</dcterms:created>
  <dcterms:modified xsi:type="dcterms:W3CDTF">2026-07-14T11:13:32Z</dcterms:modified>
</cp:coreProperties>
</file>