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4" w:rsidRPr="00766037" w:rsidRDefault="004F4E87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E87EDA">
        <w:rPr>
          <w:rFonts w:ascii="Times New Roman" w:hAnsi="Times New Roman"/>
          <w:b/>
          <w:sz w:val="24"/>
          <w:szCs w:val="24"/>
        </w:rPr>
        <w:t>3</w:t>
      </w:r>
    </w:p>
    <w:p w:rsidR="00D43074" w:rsidRPr="00766037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902781" w:rsidRPr="00766037">
        <w:rPr>
          <w:rFonts w:ascii="Times New Roman" w:hAnsi="Times New Roman"/>
          <w:b/>
          <w:sz w:val="24"/>
          <w:szCs w:val="24"/>
        </w:rPr>
        <w:br/>
      </w:r>
      <w:r w:rsidRPr="00F21B09">
        <w:rPr>
          <w:rFonts w:ascii="Times New Roman" w:hAnsi="Times New Roman"/>
          <w:b/>
          <w:sz w:val="24"/>
          <w:szCs w:val="24"/>
        </w:rPr>
        <w:t>от</w:t>
      </w:r>
      <w:r w:rsidR="000A7695">
        <w:rPr>
          <w:rFonts w:ascii="Times New Roman" w:hAnsi="Times New Roman"/>
          <w:b/>
          <w:sz w:val="24"/>
          <w:szCs w:val="24"/>
        </w:rPr>
        <w:t xml:space="preserve"> 29.10.2015</w:t>
      </w:r>
      <w:r w:rsidRPr="00F21B09">
        <w:rPr>
          <w:rFonts w:ascii="Times New Roman" w:hAnsi="Times New Roman"/>
          <w:b/>
          <w:sz w:val="24"/>
          <w:szCs w:val="24"/>
        </w:rPr>
        <w:t xml:space="preserve"> № СЭД-19-10-</w:t>
      </w:r>
      <w:r w:rsidR="000A7695">
        <w:rPr>
          <w:rFonts w:ascii="Times New Roman" w:hAnsi="Times New Roman"/>
          <w:b/>
          <w:sz w:val="24"/>
          <w:szCs w:val="24"/>
        </w:rPr>
        <w:t>172</w:t>
      </w:r>
      <w:bookmarkStart w:id="0" w:name="_GoBack"/>
      <w:bookmarkEnd w:id="0"/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находящемся в муниципальной собственности, либо 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E65A54" w:rsidRPr="004506FE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"/>
        <w:gridCol w:w="1264"/>
        <w:gridCol w:w="1187"/>
        <w:gridCol w:w="1276"/>
        <w:gridCol w:w="3755"/>
        <w:gridCol w:w="1387"/>
        <w:gridCol w:w="1321"/>
      </w:tblGrid>
      <w:tr w:rsidR="00E87EDA" w:rsidRPr="00E87EDA" w:rsidTr="000819D1">
        <w:tc>
          <w:tcPr>
            <w:tcW w:w="492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276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3755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Адресный ориентир НТО</w:t>
            </w: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(г. Пермь)</w:t>
            </w:r>
          </w:p>
        </w:tc>
        <w:tc>
          <w:tcPr>
            <w:tcW w:w="1387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лота, руб.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Д-К-11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Красина, 12 / Ц-6</w:t>
            </w:r>
            <w:proofErr w:type="gram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13 798,17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Д-К-16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Сергея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Данщина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 / ПК-3</w:t>
            </w:r>
            <w:proofErr w:type="gram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15 343,25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Д-П-43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Фоминская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41 / ПК-5</w:t>
            </w:r>
            <w:proofErr w:type="gram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86 238,54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К-П-4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перекр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-к ул.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Налимихинская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ул. Вербная / Ж-5</w:t>
            </w:r>
            <w:proofErr w:type="gram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К</w:t>
            </w:r>
            <w:proofErr w:type="gramEnd"/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51 743,12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Л-П-37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Якутская (ост.</w:t>
            </w:r>
            <w:proofErr w:type="gramEnd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"Сосновый бор") / С-3 / Л</w:t>
            </w:r>
            <w:proofErr w:type="gramEnd"/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84 090,48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Л-П-4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Брикетная, 38 / Ж-4 / Л</w:t>
            </w:r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51 743,12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М-К-21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Пролетарская, 38 / Ж-4 / М</w:t>
            </w:r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15 480,65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М-К-8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Гарцовская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58 / Ж-2 / М</w:t>
            </w:r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11 386,69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304367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№ </w:t>
            </w: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О-П-13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Молдавская, 3 / Ц-5</w:t>
            </w:r>
            <w:proofErr w:type="gram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О</w:t>
            </w:r>
            <w:proofErr w:type="gramEnd"/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18 627,48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304367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№ </w:t>
            </w: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С-К-26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Краснополянская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34 / Ж-1</w:t>
            </w:r>
            <w:proofErr w:type="gram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13 798,17</w:t>
            </w:r>
          </w:p>
        </w:tc>
      </w:tr>
      <w:tr w:rsidR="00E87EDA" w:rsidRPr="00E87EDA" w:rsidTr="000819D1">
        <w:tc>
          <w:tcPr>
            <w:tcW w:w="492" w:type="dxa"/>
            <w:vAlign w:val="center"/>
          </w:tcPr>
          <w:p w:rsidR="00E87EDA" w:rsidRPr="00E87EDA" w:rsidRDefault="00304367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E87EDA" w:rsidRPr="00E87EDA" w:rsidRDefault="00E87EDA" w:rsidP="00E87EDA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№ </w:t>
            </w: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7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С-П-24</w:t>
            </w:r>
          </w:p>
        </w:tc>
        <w:tc>
          <w:tcPr>
            <w:tcW w:w="1276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E87EDA" w:rsidRPr="00E87EDA" w:rsidRDefault="00E87EDA" w:rsidP="00E87E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Бродовское</w:t>
            </w:r>
            <w:proofErr w:type="spellEnd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кольцо, 153 / Ж-4</w:t>
            </w:r>
            <w:proofErr w:type="gramStart"/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  <w:vAlign w:val="center"/>
          </w:tcPr>
          <w:p w:rsidR="00E87EDA" w:rsidRPr="00E87EDA" w:rsidRDefault="00E87EDA" w:rsidP="00E87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86 238,54</w:t>
            </w:r>
          </w:p>
        </w:tc>
      </w:tr>
    </w:tbl>
    <w:p w:rsidR="00E87EDA" w:rsidRDefault="00E87ED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9BF" w:rsidRPr="00F14FEA" w:rsidRDefault="008839BF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F14FEA" w:rsidRPr="00F14FEA" w:rsidRDefault="00F14FE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F14FEA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F14FEA" w:rsidRPr="004506FE" w:rsidRDefault="00F14FEA" w:rsidP="00F14FEA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39BF" w:rsidRDefault="008839BF" w:rsidP="004506FE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участия в конкурсе, проведения конкурса и определения лица, выигравшего конкурс:</w:t>
      </w:r>
    </w:p>
    <w:p w:rsidR="004506FE" w:rsidRPr="008839BF" w:rsidRDefault="004506FE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>Для участия в конкурсе претенденты (представители претендентов) предъявляют</w:t>
      </w:r>
      <w:r w:rsidR="004D0CA8"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 следующие документы: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lastRenderedPageBreak/>
        <w:t>копии учредительных документов и решения об избрании единоличного исполнительного органа;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8839BF" w:rsidRPr="004506FE" w:rsidRDefault="008839BF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2C3903" w:rsidRPr="007730B8" w:rsidRDefault="002C3903" w:rsidP="002C3903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2C3903" w:rsidRPr="002C3903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903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F14FEA" w:rsidRDefault="002C3903" w:rsidP="002C3903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21B09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F14FEA" w:rsidRPr="00F21B09">
        <w:rPr>
          <w:rFonts w:ascii="Times New Roman" w:hAnsi="Times New Roman"/>
          <w:sz w:val="24"/>
          <w:szCs w:val="24"/>
        </w:rPr>
        <w:br/>
      </w:r>
      <w:proofErr w:type="gramStart"/>
      <w:r w:rsidRPr="00F21B09">
        <w:rPr>
          <w:rFonts w:ascii="Times New Roman" w:hAnsi="Times New Roman"/>
          <w:sz w:val="24"/>
          <w:szCs w:val="24"/>
        </w:rPr>
        <w:t>р</w:t>
      </w:r>
      <w:proofErr w:type="gramEnd"/>
      <w:r w:rsidRPr="00F21B09">
        <w:rPr>
          <w:rFonts w:ascii="Times New Roman" w:hAnsi="Times New Roman"/>
          <w:sz w:val="24"/>
          <w:szCs w:val="24"/>
        </w:rPr>
        <w:t xml:space="preserve">/с 403 028 100 000 050 000 09 в </w:t>
      </w:r>
      <w:r w:rsidR="00954F50" w:rsidRPr="00F21B09">
        <w:rPr>
          <w:rFonts w:ascii="Times New Roman" w:hAnsi="Times New Roman"/>
          <w:sz w:val="24"/>
          <w:szCs w:val="24"/>
        </w:rPr>
        <w:t>РКЦ</w:t>
      </w:r>
      <w:r w:rsidRPr="00F21B09">
        <w:rPr>
          <w:rFonts w:ascii="Times New Roman" w:hAnsi="Times New Roman"/>
          <w:sz w:val="24"/>
          <w:szCs w:val="24"/>
        </w:rPr>
        <w:t xml:space="preserve"> Пермь, БИК банка 045744000.</w:t>
      </w:r>
      <w:r w:rsidRPr="00120735">
        <w:rPr>
          <w:rFonts w:ascii="Times New Roman" w:hAnsi="Times New Roman"/>
          <w:sz w:val="24"/>
          <w:szCs w:val="24"/>
        </w:rPr>
        <w:t xml:space="preserve"> </w:t>
      </w:r>
    </w:p>
    <w:p w:rsidR="002C3903" w:rsidRPr="0080115C" w:rsidRDefault="002C3903" w:rsidP="00F14FE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4506FE" w:rsidRPr="00F21B09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lastRenderedPageBreak/>
        <w:t xml:space="preserve">Заявки принимаются с </w:t>
      </w:r>
      <w:r w:rsidR="00F21B09" w:rsidRPr="00F21B09">
        <w:rPr>
          <w:rFonts w:ascii="Times New Roman" w:hAnsi="Times New Roman" w:cs="Times New Roman"/>
          <w:sz w:val="24"/>
          <w:szCs w:val="24"/>
        </w:rPr>
        <w:t>13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F21B09" w:rsidRPr="00F21B09">
        <w:rPr>
          <w:rFonts w:ascii="Times New Roman" w:hAnsi="Times New Roman" w:cs="Times New Roman"/>
          <w:sz w:val="24"/>
          <w:szCs w:val="24"/>
        </w:rPr>
        <w:t>11</w:t>
      </w:r>
      <w:r w:rsidRPr="00F21B09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F21B09" w:rsidRPr="00F21B09">
        <w:rPr>
          <w:rFonts w:ascii="Times New Roman" w:hAnsi="Times New Roman" w:cs="Times New Roman"/>
          <w:sz w:val="24"/>
          <w:szCs w:val="24"/>
        </w:rPr>
        <w:t>26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F21B09" w:rsidRPr="00F21B09">
        <w:rPr>
          <w:rFonts w:ascii="Times New Roman" w:hAnsi="Times New Roman" w:cs="Times New Roman"/>
          <w:sz w:val="24"/>
          <w:szCs w:val="24"/>
        </w:rPr>
        <w:t>11</w:t>
      </w:r>
      <w:r w:rsidRPr="00F21B09">
        <w:rPr>
          <w:rFonts w:ascii="Times New Roman" w:hAnsi="Times New Roman" w:cs="Times New Roman"/>
          <w:sz w:val="24"/>
          <w:szCs w:val="24"/>
        </w:rPr>
        <w:t xml:space="preserve">.2015 ежедневно в рабочие дни с 10:00 до 13:00 </w:t>
      </w:r>
      <w:r w:rsidR="00F14FEA" w:rsidRPr="00F21B09">
        <w:rPr>
          <w:rFonts w:ascii="Times New Roman" w:hAnsi="Times New Roman" w:cs="Times New Roman"/>
          <w:sz w:val="24"/>
          <w:szCs w:val="24"/>
        </w:rPr>
        <w:t xml:space="preserve">(по </w:t>
      </w:r>
      <w:r w:rsidRPr="00F21B09">
        <w:rPr>
          <w:rFonts w:ascii="Times New Roman" w:hAnsi="Times New Roman" w:cs="Times New Roman"/>
          <w:sz w:val="24"/>
          <w:szCs w:val="24"/>
        </w:rPr>
        <w:t>местно</w:t>
      </w:r>
      <w:r w:rsidR="00F14FEA" w:rsidRPr="00F21B09">
        <w:rPr>
          <w:rFonts w:ascii="Times New Roman" w:hAnsi="Times New Roman" w:cs="Times New Roman"/>
          <w:sz w:val="24"/>
          <w:szCs w:val="24"/>
        </w:rPr>
        <w:t>му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 w:rsidRPr="00F21B09">
        <w:rPr>
          <w:rFonts w:ascii="Times New Roman" w:hAnsi="Times New Roman" w:cs="Times New Roman"/>
          <w:sz w:val="24"/>
          <w:szCs w:val="24"/>
        </w:rPr>
        <w:t>)</w:t>
      </w:r>
      <w:r w:rsidRPr="00F21B09">
        <w:rPr>
          <w:rFonts w:ascii="Times New Roman" w:hAnsi="Times New Roman" w:cs="Times New Roman"/>
          <w:sz w:val="24"/>
          <w:szCs w:val="24"/>
        </w:rPr>
        <w:t xml:space="preserve">,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28.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 w:rsidR="002C390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8839BF" w:rsidRPr="008839BF" w:rsidRDefault="008839BF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конкурсе до даты окончания приема заявок, указанной в</w:t>
      </w:r>
      <w:r w:rsidR="004046F0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AD">
        <w:rPr>
          <w:rFonts w:ascii="Times New Roman" w:hAnsi="Times New Roman" w:cs="Times New Roman"/>
          <w:sz w:val="24"/>
          <w:szCs w:val="24"/>
        </w:rPr>
        <w:t>Конкурс проводится комиссией</w:t>
      </w:r>
      <w:r w:rsidR="002C3903" w:rsidRPr="00864EAD">
        <w:rPr>
          <w:rFonts w:ascii="Times New Roman" w:hAnsi="Times New Roman" w:cs="Times New Roman"/>
          <w:sz w:val="24"/>
          <w:szCs w:val="24"/>
        </w:rPr>
        <w:t xml:space="preserve"> по проведению торгов </w:t>
      </w:r>
      <w:r w:rsidR="00864EAD" w:rsidRPr="00864EAD">
        <w:rPr>
          <w:rFonts w:ascii="Times New Roman" w:hAnsi="Times New Roman" w:cs="Times New Roman"/>
          <w:sz w:val="24"/>
          <w:szCs w:val="24"/>
        </w:rPr>
        <w:t xml:space="preserve">(аукционов, конкурсов)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="00DF7DA7" w:rsidRPr="00DF7DA7">
        <w:rPr>
          <w:rFonts w:ascii="Times New Roman" w:hAnsi="Times New Roman" w:cs="Times New Roman"/>
          <w:sz w:val="24"/>
          <w:szCs w:val="24"/>
        </w:rPr>
        <w:br/>
      </w:r>
      <w:r w:rsidR="002C3903" w:rsidRPr="00864EAD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на участие в конкурсе, оценки и сопоставления конкурсных предложений.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4506FE" w:rsidRPr="004506FE" w:rsidRDefault="004506FE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2C3903" w:rsidRPr="00F21B09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Вскрытие конвертов с конкурсными предложениями по лотам №№ 1-1</w:t>
      </w:r>
      <w:r w:rsidR="00954F50" w:rsidRPr="00F21B09">
        <w:rPr>
          <w:rFonts w:ascii="Times New Roman" w:hAnsi="Times New Roman" w:cs="Times New Roman"/>
          <w:sz w:val="24"/>
          <w:szCs w:val="24"/>
        </w:rPr>
        <w:t>1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F21B09" w:rsidRPr="00F21B09">
        <w:rPr>
          <w:rFonts w:ascii="Times New Roman" w:hAnsi="Times New Roman" w:cs="Times New Roman"/>
          <w:sz w:val="24"/>
          <w:szCs w:val="24"/>
        </w:rPr>
        <w:t>02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F21B09" w:rsidRPr="00F21B09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.2015 в 1</w:t>
      </w:r>
      <w:r w:rsidR="00F21B09" w:rsidRPr="00F21B09">
        <w:rPr>
          <w:rFonts w:ascii="Times New Roman" w:hAnsi="Times New Roman" w:cs="Times New Roman"/>
          <w:sz w:val="24"/>
          <w:szCs w:val="24"/>
        </w:rPr>
        <w:t>1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2C3903" w:rsidRPr="00F21B09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Рассмотрение заявок на участие в конкурсе по лотам №№ 1-1</w:t>
      </w:r>
      <w:r w:rsidR="00954F50" w:rsidRPr="00F21B09">
        <w:rPr>
          <w:rFonts w:ascii="Times New Roman" w:hAnsi="Times New Roman" w:cs="Times New Roman"/>
          <w:sz w:val="24"/>
          <w:szCs w:val="24"/>
        </w:rPr>
        <w:t>1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F21B09" w:rsidRPr="00F21B09">
        <w:rPr>
          <w:rFonts w:ascii="Times New Roman" w:hAnsi="Times New Roman" w:cs="Times New Roman"/>
          <w:sz w:val="24"/>
          <w:szCs w:val="24"/>
        </w:rPr>
        <w:t>09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F21B09" w:rsidRPr="00F21B09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 xml:space="preserve">.2015 </w:t>
      </w:r>
      <w:r w:rsidR="00F14FEA" w:rsidRPr="00F21B09">
        <w:rPr>
          <w:rFonts w:ascii="Times New Roman" w:hAnsi="Times New Roman" w:cs="Times New Roman"/>
          <w:sz w:val="24"/>
          <w:szCs w:val="24"/>
        </w:rPr>
        <w:br/>
      </w:r>
      <w:r w:rsidRPr="00F21B09">
        <w:rPr>
          <w:rFonts w:ascii="Times New Roman" w:hAnsi="Times New Roman" w:cs="Times New Roman"/>
          <w:sz w:val="24"/>
          <w:szCs w:val="24"/>
        </w:rPr>
        <w:t xml:space="preserve">в 11:00 </w:t>
      </w:r>
      <w:r w:rsidR="00F14FEA" w:rsidRPr="00F21B09">
        <w:rPr>
          <w:rFonts w:ascii="Times New Roman" w:hAnsi="Times New Roman" w:cs="Times New Roman"/>
          <w:sz w:val="24"/>
          <w:szCs w:val="24"/>
        </w:rPr>
        <w:t>(по местному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 w:rsidRPr="00F21B09">
        <w:rPr>
          <w:rFonts w:ascii="Times New Roman" w:hAnsi="Times New Roman" w:cs="Times New Roman"/>
          <w:sz w:val="24"/>
          <w:szCs w:val="24"/>
        </w:rPr>
        <w:t>)</w:t>
      </w:r>
      <w:r w:rsidRPr="00F21B09">
        <w:rPr>
          <w:rFonts w:ascii="Times New Roman" w:hAnsi="Times New Roman" w:cs="Times New Roman"/>
          <w:sz w:val="24"/>
          <w:szCs w:val="24"/>
        </w:rPr>
        <w:t xml:space="preserve">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B1298D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B1298D" w:rsidRPr="00120735" w:rsidRDefault="00B1298D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B1298D" w:rsidRPr="00120735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B1298D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 w:rsidR="00453C7D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заключение Договора, либо представлены предложения по размеру за право на заключение Договора ниже начальной цены лота.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FD223D" w:rsidRPr="00F21B09" w:rsidRDefault="00FD223D" w:rsidP="00FD223D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Оценка конкурсных предложений участников по лотам №№ 1-1</w:t>
      </w:r>
      <w:r w:rsidR="00954F50" w:rsidRPr="00F21B09">
        <w:rPr>
          <w:rFonts w:ascii="Times New Roman" w:hAnsi="Times New Roman" w:cs="Times New Roman"/>
          <w:sz w:val="24"/>
          <w:szCs w:val="24"/>
        </w:rPr>
        <w:t>1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="00F21B09" w:rsidRPr="00F21B09">
        <w:rPr>
          <w:rFonts w:ascii="Times New Roman" w:hAnsi="Times New Roman" w:cs="Times New Roman"/>
          <w:sz w:val="24"/>
          <w:szCs w:val="24"/>
        </w:rPr>
        <w:t>16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F21B09" w:rsidRPr="00F21B09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 xml:space="preserve">.2015 </w:t>
      </w:r>
      <w:r w:rsidR="00453C7D" w:rsidRPr="00F21B09">
        <w:rPr>
          <w:rFonts w:ascii="Times New Roman" w:hAnsi="Times New Roman" w:cs="Times New Roman"/>
          <w:sz w:val="24"/>
          <w:szCs w:val="24"/>
        </w:rPr>
        <w:br/>
      </w:r>
      <w:r w:rsidRPr="00F21B09">
        <w:rPr>
          <w:rFonts w:ascii="Times New Roman" w:hAnsi="Times New Roman" w:cs="Times New Roman"/>
          <w:sz w:val="24"/>
          <w:szCs w:val="24"/>
        </w:rPr>
        <w:t xml:space="preserve">в 15:00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  <w:bookmarkStart w:id="1" w:name="Par138"/>
      <w:bookmarkEnd w:id="1"/>
    </w:p>
    <w:p w:rsidR="00E003EE" w:rsidRDefault="00E003EE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 w:rsidR="00FD223D"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E87EDA" w:rsidRPr="00E87EDA" w:rsidRDefault="00E87EDA" w:rsidP="00E87EDA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1 день </w:t>
      </w:r>
    </w:p>
    <w:p w:rsidR="00E87EDA" w:rsidRPr="00E87EDA" w:rsidRDefault="00E87EDA" w:rsidP="00E87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>до даты вскрытия конвертов с конкурсными предложениями.</w:t>
      </w:r>
    </w:p>
    <w:p w:rsidR="00E003EE" w:rsidRPr="004506FE" w:rsidRDefault="008839BF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подробно с</w:t>
      </w:r>
      <w:r w:rsidR="00E003EE"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="00E003EE"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="00E003EE" w:rsidRPr="004506FE">
        <w:rPr>
          <w:rFonts w:ascii="Times New Roman" w:hAnsi="Times New Roman"/>
          <w:sz w:val="24"/>
          <w:szCs w:val="24"/>
        </w:rPr>
        <w:t>. № 28, тел. 212-77-24).</w:t>
      </w:r>
    </w:p>
    <w:p w:rsidR="00704C34" w:rsidRPr="004506FE" w:rsidRDefault="00704C34" w:rsidP="004F0C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C08" w:rsidRPr="004506FE" w:rsidRDefault="00D00C08" w:rsidP="004F0C48">
      <w:pPr>
        <w:spacing w:after="0"/>
        <w:ind w:firstLine="709"/>
        <w:jc w:val="both"/>
        <w:rPr>
          <w:sz w:val="24"/>
          <w:szCs w:val="24"/>
        </w:rPr>
      </w:pPr>
    </w:p>
    <w:sectPr w:rsidR="00D00C08" w:rsidRPr="004506FE" w:rsidSect="00E0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103A"/>
    <w:rsid w:val="000A7695"/>
    <w:rsid w:val="002C3903"/>
    <w:rsid w:val="002E6050"/>
    <w:rsid w:val="00304367"/>
    <w:rsid w:val="003B11C2"/>
    <w:rsid w:val="004046F0"/>
    <w:rsid w:val="004506FE"/>
    <w:rsid w:val="00453C7D"/>
    <w:rsid w:val="004837DB"/>
    <w:rsid w:val="004D0CA8"/>
    <w:rsid w:val="004F0C48"/>
    <w:rsid w:val="004F4E87"/>
    <w:rsid w:val="005216A3"/>
    <w:rsid w:val="00610B11"/>
    <w:rsid w:val="0061497D"/>
    <w:rsid w:val="00684D30"/>
    <w:rsid w:val="00703398"/>
    <w:rsid w:val="00704C34"/>
    <w:rsid w:val="00766037"/>
    <w:rsid w:val="00770BCC"/>
    <w:rsid w:val="007B38CF"/>
    <w:rsid w:val="007D02E8"/>
    <w:rsid w:val="008543FD"/>
    <w:rsid w:val="00860F25"/>
    <w:rsid w:val="00864EAD"/>
    <w:rsid w:val="008839BF"/>
    <w:rsid w:val="008E71BD"/>
    <w:rsid w:val="00902781"/>
    <w:rsid w:val="00954F50"/>
    <w:rsid w:val="00965409"/>
    <w:rsid w:val="00A91CDC"/>
    <w:rsid w:val="00B1298D"/>
    <w:rsid w:val="00B2103A"/>
    <w:rsid w:val="00B55C9B"/>
    <w:rsid w:val="00D00C08"/>
    <w:rsid w:val="00D43074"/>
    <w:rsid w:val="00DD05B1"/>
    <w:rsid w:val="00DE0388"/>
    <w:rsid w:val="00DF7DA7"/>
    <w:rsid w:val="00E003EE"/>
    <w:rsid w:val="00E65A54"/>
    <w:rsid w:val="00E87EDA"/>
    <w:rsid w:val="00F14FEA"/>
    <w:rsid w:val="00F21B09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21</cp:revision>
  <cp:lastPrinted>2015-07-13T10:49:00Z</cp:lastPrinted>
  <dcterms:created xsi:type="dcterms:W3CDTF">2015-07-07T12:20:00Z</dcterms:created>
  <dcterms:modified xsi:type="dcterms:W3CDTF">2015-10-30T04:43:00Z</dcterms:modified>
</cp:coreProperties>
</file>