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FF39AB">
        <w:t>2</w:t>
      </w:r>
      <w:r w:rsidR="00DF407F">
        <w:t>4.03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837902" w:rsidRPr="004357CA" w:rsidTr="002134B1">
        <w:tc>
          <w:tcPr>
            <w:tcW w:w="2224" w:type="dxa"/>
          </w:tcPr>
          <w:p w:rsidR="00DF407F" w:rsidRPr="0074317A" w:rsidRDefault="00DF407F" w:rsidP="00DF407F">
            <w:pPr>
              <w:tabs>
                <w:tab w:val="left" w:pos="-108"/>
              </w:tabs>
              <w:ind w:hanging="108"/>
              <w:jc w:val="both"/>
            </w:pPr>
            <w:r w:rsidRPr="0074317A">
              <w:t>Председатель</w:t>
            </w:r>
          </w:p>
          <w:p w:rsidR="00DF407F" w:rsidRDefault="00DF407F" w:rsidP="00DF407F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  <w:r w:rsidRPr="0074317A">
              <w:t>комиссии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DF407F" w:rsidRPr="00F7785C" w:rsidRDefault="00DF407F" w:rsidP="00DF407F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Хаткевич А.А.</w:t>
            </w: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DD6660" w:rsidRDefault="00DD6660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8" w:type="dxa"/>
          </w:tcPr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922BCD" w:rsidRDefault="00922BCD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DF407F" w:rsidRPr="00F7785C" w:rsidRDefault="00DF407F" w:rsidP="00DF407F">
            <w:pPr>
              <w:tabs>
                <w:tab w:val="left" w:pos="220"/>
              </w:tabs>
              <w:jc w:val="both"/>
            </w:pPr>
            <w:r w:rsidRPr="0074317A">
              <w:t xml:space="preserve">- </w:t>
            </w:r>
            <w:r w:rsidRPr="00F7785C">
              <w:t xml:space="preserve">начальник </w:t>
            </w:r>
            <w:proofErr w:type="gramStart"/>
            <w:r w:rsidRPr="00F7785C">
              <w:t>департамента имущественных отношений администрации города Перми</w:t>
            </w:r>
            <w:proofErr w:type="gramEnd"/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DD6660" w:rsidRDefault="00DD6660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37902" w:rsidRPr="004357CA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DD6660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RPr="004357CA" w:rsidTr="002134B1">
        <w:tc>
          <w:tcPr>
            <w:tcW w:w="2224" w:type="dxa"/>
          </w:tcPr>
          <w:p w:rsidR="00837902" w:rsidRPr="004357CA" w:rsidRDefault="00837902" w:rsidP="00DD6660">
            <w:pPr>
              <w:pStyle w:val="a5"/>
              <w:tabs>
                <w:tab w:val="left" w:pos="-1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</w:t>
            </w:r>
            <w:r w:rsidRPr="004357CA">
              <w:t xml:space="preserve"> </w:t>
            </w:r>
            <w:r>
              <w:t>Д.С.</w:t>
            </w:r>
          </w:p>
          <w:p w:rsidR="00837902" w:rsidRPr="004357CA" w:rsidRDefault="00837902" w:rsidP="00DD6660">
            <w:pPr>
              <w:pStyle w:val="a5"/>
              <w:tabs>
                <w:tab w:val="left" w:pos="-108"/>
              </w:tabs>
              <w:spacing w:after="0"/>
              <w:ind w:left="0"/>
              <w:jc w:val="both"/>
            </w:pP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837902" w:rsidRPr="004357CA" w:rsidRDefault="00837902" w:rsidP="00DD6660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Потеряхина Ю.М.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DD6660" w:rsidRPr="00F7785C" w:rsidRDefault="00DD6660" w:rsidP="00DD6660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 xml:space="preserve">Филиппов А.Е. </w:t>
            </w:r>
          </w:p>
          <w:p w:rsidR="00DD6660" w:rsidRDefault="00DD6660" w:rsidP="00DD6660">
            <w:pPr>
              <w:pStyle w:val="a5"/>
              <w:tabs>
                <w:tab w:val="left" w:pos="-1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2134B1">
              <w:t>Южакова И.А.</w:t>
            </w:r>
          </w:p>
        </w:tc>
        <w:tc>
          <w:tcPr>
            <w:tcW w:w="7238" w:type="dxa"/>
          </w:tcPr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начальник отдела архитектуры управления </w:t>
            </w:r>
            <w:r w:rsidR="007272DF">
              <w:t>архитектуры</w:t>
            </w:r>
            <w:r w:rsidR="007272DF" w:rsidRPr="007272DF">
              <w:br/>
            </w:r>
            <w:r>
              <w:t xml:space="preserve">и городского дизайна </w:t>
            </w:r>
            <w:r w:rsidR="007272DF">
              <w:t>департамента градостроительства</w:t>
            </w:r>
            <w:r w:rsidR="007272DF" w:rsidRPr="007272DF">
              <w:br/>
            </w:r>
            <w:r>
              <w:t>и архитектуры администрации города Перми</w:t>
            </w: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DD6660" w:rsidRDefault="00DD6660" w:rsidP="00DD6660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 xml:space="preserve">- </w:t>
            </w:r>
            <w:r>
              <w:t>депутат Пермской городской Думы</w:t>
            </w:r>
          </w:p>
          <w:p w:rsidR="00DD6660" w:rsidRDefault="00DD6660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2134B1">
              <w:t>главный специалист отд</w:t>
            </w:r>
            <w:r w:rsidR="007272DF">
              <w:t>ела торговли и услуг управления</w:t>
            </w:r>
            <w:r w:rsidR="007272DF" w:rsidRPr="007272DF">
              <w:br/>
            </w:r>
            <w:r w:rsidRPr="002134B1">
              <w:t xml:space="preserve">по развитию потребительского рынка </w:t>
            </w:r>
            <w:r w:rsidR="007272DF">
              <w:t>департамента экономики</w:t>
            </w:r>
            <w:r w:rsidR="007272DF" w:rsidRPr="007272DF">
              <w:br/>
            </w:r>
            <w:r w:rsidRPr="004357CA">
              <w:t xml:space="preserve">и промышленной политики </w:t>
            </w:r>
            <w:r w:rsidRPr="002134B1">
              <w:t>администрации города Перми</w:t>
            </w:r>
          </w:p>
        </w:tc>
      </w:tr>
      <w:tr w:rsidR="00837902" w:rsidTr="002134B1">
        <w:tc>
          <w:tcPr>
            <w:tcW w:w="2224" w:type="dxa"/>
          </w:tcPr>
          <w:p w:rsidR="00837902" w:rsidRDefault="00837902" w:rsidP="00F868DE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38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  <w:tr w:rsidR="00837902" w:rsidTr="00CF7E6B">
        <w:tc>
          <w:tcPr>
            <w:tcW w:w="2224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38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lastRenderedPageBreak/>
        <w:tab/>
      </w:r>
      <w:r w:rsidR="002134B1">
        <w:t>Характеристика лотов №№ 1-</w:t>
      </w:r>
      <w:r w:rsidR="00DD6660">
        <w:t>17</w:t>
      </w:r>
      <w:r w:rsidR="002134B1" w:rsidRPr="00DC743A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DD6660">
        <w:rPr>
          <w:bCs/>
          <w:color w:val="000000"/>
        </w:rPr>
        <w:t>04.02.2016</w:t>
      </w:r>
      <w:r w:rsidR="003E4AD6" w:rsidRPr="003E4AD6">
        <w:rPr>
          <w:bCs/>
          <w:color w:val="000000"/>
        </w:rPr>
        <w:t xml:space="preserve"> № СЭД-19-</w:t>
      </w:r>
      <w:r w:rsidR="00DD6660">
        <w:rPr>
          <w:bCs/>
          <w:color w:val="000000"/>
        </w:rPr>
        <w:t>09-13</w:t>
      </w:r>
      <w:r w:rsidR="003E4AD6" w:rsidRPr="003E4AD6">
        <w:rPr>
          <w:bCs/>
          <w:color w:val="000000"/>
        </w:rPr>
        <w:t>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D6660" w:rsidRDefault="00DD6660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proofErr w:type="gramStart"/>
      <w:r w:rsidRPr="00DD6660">
        <w:rPr>
          <w:b/>
        </w:rPr>
        <w:t xml:space="preserve">по лоту </w:t>
      </w:r>
      <w:r w:rsidRPr="00DD6660">
        <w:rPr>
          <w:b/>
          <w:bCs/>
        </w:rPr>
        <w:t xml:space="preserve">№ 1 </w:t>
      </w:r>
      <w:r w:rsidRPr="00597A8D">
        <w:t>(</w:t>
      </w:r>
      <w:r w:rsidRPr="005E2FD8">
        <w:t>Д-П-59, павильон, ш.</w:t>
      </w:r>
      <w:proofErr w:type="gramEnd"/>
      <w:r w:rsidRPr="005E2FD8">
        <w:t xml:space="preserve"> Космонавтов, 63, площадь 30 </w:t>
      </w:r>
      <w:proofErr w:type="spellStart"/>
      <w:r w:rsidRPr="005E2FD8">
        <w:t>кв</w:t>
      </w:r>
      <w:proofErr w:type="gramStart"/>
      <w:r w:rsidRPr="005E2FD8">
        <w:t>.м</w:t>
      </w:r>
      <w:proofErr w:type="spellEnd"/>
      <w:proofErr w:type="gramEnd"/>
      <w:r>
        <w:t xml:space="preserve">, </w:t>
      </w:r>
      <w:r w:rsidRPr="00837902">
        <w:t>начальный размер годовой платы по договору</w:t>
      </w:r>
      <w:r>
        <w:t xml:space="preserve"> </w:t>
      </w:r>
      <w:r>
        <w:rPr>
          <w:color w:val="000000"/>
        </w:rPr>
        <w:t xml:space="preserve">65 941,85 руб.) - </w:t>
      </w:r>
      <w:r w:rsidRPr="005E2FD8">
        <w:t xml:space="preserve">ИП </w:t>
      </w:r>
      <w:proofErr w:type="spellStart"/>
      <w:r w:rsidRPr="005E2FD8">
        <w:t>Змановская</w:t>
      </w:r>
      <w:proofErr w:type="spellEnd"/>
      <w:r w:rsidRPr="005E2FD8">
        <w:t xml:space="preserve"> Анна Игоревна</w:t>
      </w:r>
      <w:r>
        <w:t>.</w:t>
      </w:r>
    </w:p>
    <w:p w:rsidR="00CD68DE" w:rsidRDefault="00CD68DE" w:rsidP="007F24BF">
      <w:pPr>
        <w:pStyle w:val="a9"/>
        <w:autoSpaceDE w:val="0"/>
        <w:autoSpaceDN w:val="0"/>
        <w:adjustRightInd w:val="0"/>
        <w:ind w:left="709" w:hanging="349"/>
        <w:jc w:val="both"/>
      </w:pPr>
    </w:p>
    <w:p w:rsidR="00BC1EAB" w:rsidRPr="00922BCD" w:rsidRDefault="00AE6D13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  <w:rPr>
          <w:bCs/>
        </w:rPr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 w:rsidR="00DD6660">
        <w:rPr>
          <w:b/>
          <w:bCs/>
        </w:rPr>
        <w:t>3</w:t>
      </w:r>
      <w:r w:rsidRPr="00BC1EAB">
        <w:rPr>
          <w:b/>
          <w:bCs/>
        </w:rPr>
        <w:t xml:space="preserve"> </w:t>
      </w:r>
      <w:r w:rsidR="00CD68DE" w:rsidRPr="00597A8D">
        <w:t>(</w:t>
      </w:r>
      <w:r w:rsidR="00CD68DE" w:rsidRPr="005E2FD8">
        <w:t xml:space="preserve">И-К-68, киоск, ул. Мира, 130, площадь 10 </w:t>
      </w:r>
      <w:proofErr w:type="spellStart"/>
      <w:r w:rsidR="00CD68DE" w:rsidRPr="005E2FD8">
        <w:t>кв</w:t>
      </w:r>
      <w:proofErr w:type="gramStart"/>
      <w:r w:rsidR="00CD68DE" w:rsidRPr="005E2FD8">
        <w:t>.м</w:t>
      </w:r>
      <w:proofErr w:type="spellEnd"/>
      <w:proofErr w:type="gramEnd"/>
      <w:r w:rsidR="00BC1EAB">
        <w:t>,</w:t>
      </w:r>
      <w:r w:rsidR="003E4AD6" w:rsidRPr="00703D73">
        <w:t xml:space="preserve"> </w:t>
      </w:r>
      <w:r w:rsidR="00D52CB3" w:rsidRPr="00837902">
        <w:t xml:space="preserve">начальный размер годовой платы по договору </w:t>
      </w:r>
      <w:r w:rsidR="00CD68DE" w:rsidRPr="008875FB">
        <w:rPr>
          <w:color w:val="000000"/>
        </w:rPr>
        <w:t>18 123,25</w:t>
      </w:r>
      <w:r w:rsidR="00BC1EAB" w:rsidRPr="00BC1EAB">
        <w:t xml:space="preserve"> </w:t>
      </w:r>
      <w:r w:rsidR="00922BCD">
        <w:t>руб.)</w:t>
      </w:r>
      <w:r w:rsidR="00D52CB3" w:rsidRPr="00837902">
        <w:t xml:space="preserve"> </w:t>
      </w:r>
      <w:r w:rsidR="00922BCD">
        <w:t>-</w:t>
      </w:r>
      <w:r w:rsidR="00D52CB3" w:rsidRPr="00837902">
        <w:t xml:space="preserve"> </w:t>
      </w:r>
      <w:r w:rsidR="00CD68DE">
        <w:t>ООО «Электрик Макс»</w:t>
      </w:r>
      <w:r w:rsidR="00BC1EAB" w:rsidRPr="00922BCD">
        <w:rPr>
          <w:bCs/>
        </w:rPr>
        <w:t xml:space="preserve">. </w:t>
      </w:r>
    </w:p>
    <w:p w:rsidR="006B0E04" w:rsidRPr="006B0E04" w:rsidRDefault="006B0E04" w:rsidP="007F24BF">
      <w:pPr>
        <w:autoSpaceDE w:val="0"/>
        <w:autoSpaceDN w:val="0"/>
        <w:adjustRightInd w:val="0"/>
        <w:ind w:left="709" w:hanging="349"/>
        <w:jc w:val="both"/>
      </w:pPr>
    </w:p>
    <w:p w:rsidR="003E4AD6" w:rsidRDefault="00AE6D13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 w:rsidR="00CD68DE">
        <w:rPr>
          <w:b/>
          <w:bCs/>
        </w:rPr>
        <w:t>5</w:t>
      </w:r>
      <w:r w:rsidRPr="00BC1EAB">
        <w:rPr>
          <w:b/>
          <w:bCs/>
        </w:rPr>
        <w:t xml:space="preserve"> </w:t>
      </w:r>
      <w:r w:rsidR="00CD68DE" w:rsidRPr="005233D1">
        <w:t>(</w:t>
      </w:r>
      <w:r w:rsidR="00CD68DE" w:rsidRPr="005E2FD8">
        <w:t xml:space="preserve">И-П-108, павильон, ул. Космонавта Леонова, 51, площадь 10 </w:t>
      </w:r>
      <w:proofErr w:type="spellStart"/>
      <w:r w:rsidR="00CD68DE" w:rsidRPr="005E2FD8">
        <w:t>кв</w:t>
      </w:r>
      <w:proofErr w:type="gramStart"/>
      <w:r w:rsidR="00CD68DE" w:rsidRPr="005E2FD8">
        <w:t>.м</w:t>
      </w:r>
      <w:proofErr w:type="spellEnd"/>
      <w:proofErr w:type="gramEnd"/>
      <w:r w:rsidR="00BC1EAB">
        <w:t>,</w:t>
      </w:r>
      <w:r w:rsidR="00BC1EAB" w:rsidRPr="00BC1EAB">
        <w:rPr>
          <w:bCs/>
        </w:rPr>
        <w:t xml:space="preserve"> </w:t>
      </w:r>
      <w:r w:rsidRPr="00922BCD">
        <w:t xml:space="preserve">начальный размер годовой платы по договору </w:t>
      </w:r>
      <w:r w:rsidR="00CD68DE" w:rsidRPr="008875FB">
        <w:rPr>
          <w:color w:val="000000"/>
        </w:rPr>
        <w:t>18 286,46</w:t>
      </w:r>
      <w:r w:rsidR="00BC1EAB" w:rsidRPr="00922BCD">
        <w:t xml:space="preserve"> </w:t>
      </w:r>
      <w:r w:rsidR="00CD68DE">
        <w:t>руб.)</w:t>
      </w:r>
      <w:r w:rsidR="007272DF">
        <w:t xml:space="preserve"> </w:t>
      </w:r>
      <w:r w:rsidRPr="00922BCD">
        <w:t xml:space="preserve">- </w:t>
      </w:r>
      <w:r w:rsidR="00CD68DE" w:rsidRPr="005E2FD8">
        <w:t>ООО «Пермский краевой информационный центр»</w:t>
      </w:r>
      <w:r w:rsidR="00BC1EAB">
        <w:t xml:space="preserve">. </w:t>
      </w:r>
    </w:p>
    <w:p w:rsidR="00CD68DE" w:rsidRDefault="00CD68DE" w:rsidP="007F24BF">
      <w:pPr>
        <w:pStyle w:val="a9"/>
        <w:ind w:left="709" w:hanging="349"/>
      </w:pPr>
    </w:p>
    <w:p w:rsidR="00CD68DE" w:rsidRDefault="00CD68DE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8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>К-КП-24, киоск, ул. Адмирала Ушакова, 55</w:t>
      </w:r>
      <w:r w:rsidR="00414368">
        <w:t>/2</w:t>
      </w:r>
      <w:bookmarkStart w:id="0" w:name="_GoBack"/>
      <w:bookmarkEnd w:id="0"/>
      <w:r w:rsidRPr="005E2FD8">
        <w:t xml:space="preserve">, площадь </w:t>
      </w:r>
      <w:r w:rsidRPr="0049054E">
        <w:t>6</w:t>
      </w:r>
      <w:r w:rsidRPr="005E2FD8">
        <w:t xml:space="preserve"> </w:t>
      </w:r>
      <w:proofErr w:type="spellStart"/>
      <w:r w:rsidRPr="005E2FD8">
        <w:t>кв</w:t>
      </w:r>
      <w:proofErr w:type="gramStart"/>
      <w:r w:rsidRPr="005E2FD8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875FB">
        <w:rPr>
          <w:color w:val="000000"/>
        </w:rPr>
        <w:t>6 291,39</w:t>
      </w:r>
      <w:r w:rsidRPr="00922BCD">
        <w:t xml:space="preserve"> </w:t>
      </w:r>
      <w:r>
        <w:t>руб.)</w:t>
      </w:r>
      <w:r w:rsidR="007272DF">
        <w:t xml:space="preserve"> </w:t>
      </w:r>
      <w:r w:rsidRPr="00922BCD">
        <w:t xml:space="preserve">- </w:t>
      </w:r>
      <w:r>
        <w:t xml:space="preserve">ООО «Электрик Макс». </w:t>
      </w:r>
    </w:p>
    <w:p w:rsidR="00CD68DE" w:rsidRDefault="00CD68DE" w:rsidP="007F24BF">
      <w:pPr>
        <w:pStyle w:val="a9"/>
        <w:ind w:left="709" w:hanging="349"/>
      </w:pPr>
    </w:p>
    <w:p w:rsidR="009B21B5" w:rsidRDefault="009B21B5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9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 xml:space="preserve">К-П-49, павильон, ул. Адмирала Нахимова, 19, площадь 12 </w:t>
      </w:r>
      <w:proofErr w:type="spellStart"/>
      <w:r w:rsidRPr="0049054E">
        <w:t>кв</w:t>
      </w:r>
      <w:proofErr w:type="gramStart"/>
      <w:r w:rsidRPr="0049054E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875FB">
        <w:rPr>
          <w:color w:val="000000"/>
        </w:rPr>
        <w:t>12 868,66</w:t>
      </w:r>
      <w:r w:rsidRPr="00922BCD">
        <w:t xml:space="preserve"> </w:t>
      </w:r>
      <w:r>
        <w:t>руб.)</w:t>
      </w:r>
      <w:r w:rsidR="007272DF">
        <w:t xml:space="preserve"> </w:t>
      </w:r>
      <w:r w:rsidRPr="00922BCD">
        <w:t xml:space="preserve">- </w:t>
      </w:r>
      <w:r w:rsidRPr="0049054E">
        <w:t>ИП Володько Ефим Владимирович</w:t>
      </w:r>
      <w:r>
        <w:t xml:space="preserve">. 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12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 xml:space="preserve">Л-К-70, киоск, ул. Ленина, 66а, площадь 10 </w:t>
      </w:r>
      <w:proofErr w:type="spellStart"/>
      <w:r w:rsidRPr="0049054E">
        <w:t>кв</w:t>
      </w:r>
      <w:proofErr w:type="gramStart"/>
      <w:r w:rsidRPr="0049054E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875FB">
        <w:rPr>
          <w:color w:val="000000"/>
        </w:rPr>
        <w:t>27 124,02</w:t>
      </w:r>
      <w:r w:rsidRPr="00922BCD">
        <w:t xml:space="preserve"> </w:t>
      </w:r>
      <w:r>
        <w:t>руб.)</w:t>
      </w:r>
      <w:r w:rsidR="007272DF">
        <w:t xml:space="preserve"> </w:t>
      </w:r>
      <w:r w:rsidRPr="00922BCD">
        <w:t xml:space="preserve">- </w:t>
      </w:r>
      <w:r w:rsidRPr="0049054E">
        <w:t>ООО «</w:t>
      </w:r>
      <w:proofErr w:type="spellStart"/>
      <w:r w:rsidRPr="0049054E">
        <w:t>Медсфера</w:t>
      </w:r>
      <w:proofErr w:type="spellEnd"/>
      <w:r w:rsidRPr="0049054E">
        <w:t>»</w:t>
      </w:r>
      <w:r>
        <w:t xml:space="preserve">. 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13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 xml:space="preserve">М-П-73, павильон, ул. Ивана Франко, 49, площадь 35 </w:t>
      </w:r>
      <w:proofErr w:type="spellStart"/>
      <w:r w:rsidRPr="0049054E">
        <w:t>кв</w:t>
      </w:r>
      <w:proofErr w:type="gramStart"/>
      <w:r w:rsidRPr="0049054E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размер г</w:t>
      </w:r>
      <w:r w:rsidR="007272DF">
        <w:t xml:space="preserve">одовой платы по договору </w:t>
      </w:r>
      <w:r w:rsidRPr="008875FB">
        <w:rPr>
          <w:color w:val="000000"/>
        </w:rPr>
        <w:t>52 163,62</w:t>
      </w:r>
      <w:r w:rsidRPr="00922BCD">
        <w:t xml:space="preserve"> </w:t>
      </w:r>
      <w:r>
        <w:t>руб.)</w:t>
      </w:r>
      <w:r w:rsidR="007272DF">
        <w:t xml:space="preserve"> -</w:t>
      </w:r>
      <w:r w:rsidR="007272DF" w:rsidRPr="007272DF">
        <w:t xml:space="preserve"> </w:t>
      </w:r>
      <w:r w:rsidRPr="0049054E">
        <w:t>ООО «Мегаполис»</w:t>
      </w:r>
      <w:r>
        <w:t xml:space="preserve">. 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14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 xml:space="preserve">М-П-74, павильон, ул. Ушинского, 2, площадь 9 </w:t>
      </w:r>
      <w:proofErr w:type="spellStart"/>
      <w:r w:rsidRPr="0049054E">
        <w:t>кв</w:t>
      </w:r>
      <w:proofErr w:type="gramStart"/>
      <w:r w:rsidRPr="0049054E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875FB">
        <w:rPr>
          <w:color w:val="000000"/>
        </w:rPr>
        <w:t>16 541,10</w:t>
      </w:r>
      <w:r w:rsidRPr="00922BCD">
        <w:t xml:space="preserve"> </w:t>
      </w:r>
      <w:r>
        <w:t>руб.)</w:t>
      </w:r>
      <w:r w:rsidR="007272DF">
        <w:t xml:space="preserve"> </w:t>
      </w:r>
      <w:r w:rsidRPr="00922BCD">
        <w:t xml:space="preserve">- </w:t>
      </w:r>
      <w:r w:rsidRPr="0049054E">
        <w:t>ООО «Пермский краевой информационный центр»</w:t>
      </w:r>
      <w:r>
        <w:t xml:space="preserve">. 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7F24BF">
      <w:pPr>
        <w:pStyle w:val="a9"/>
        <w:numPr>
          <w:ilvl w:val="0"/>
          <w:numId w:val="1"/>
        </w:numPr>
        <w:autoSpaceDE w:val="0"/>
        <w:autoSpaceDN w:val="0"/>
        <w:adjustRightInd w:val="0"/>
        <w:ind w:left="709" w:hanging="349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>
        <w:rPr>
          <w:b/>
          <w:bCs/>
        </w:rPr>
        <w:t>17</w:t>
      </w:r>
      <w:r w:rsidRPr="00BC1EAB">
        <w:rPr>
          <w:b/>
          <w:bCs/>
        </w:rPr>
        <w:t xml:space="preserve"> </w:t>
      </w:r>
      <w:r w:rsidRPr="005233D1">
        <w:t>(</w:t>
      </w:r>
      <w:r w:rsidRPr="0049054E">
        <w:t xml:space="preserve">С-К-65, киоск, ул. </w:t>
      </w:r>
      <w:proofErr w:type="spellStart"/>
      <w:r w:rsidRPr="0049054E">
        <w:t>Загарьинская</w:t>
      </w:r>
      <w:proofErr w:type="spellEnd"/>
      <w:r w:rsidRPr="0049054E">
        <w:t xml:space="preserve">, 6, площадь 6 </w:t>
      </w:r>
      <w:proofErr w:type="spellStart"/>
      <w:r w:rsidRPr="0049054E">
        <w:t>кв</w:t>
      </w:r>
      <w:proofErr w:type="gramStart"/>
      <w:r w:rsidRPr="0049054E">
        <w:t>.м</w:t>
      </w:r>
      <w:proofErr w:type="spellEnd"/>
      <w:proofErr w:type="gramEnd"/>
      <w:r>
        <w:t>,</w:t>
      </w:r>
      <w:r w:rsidRPr="00BC1EAB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875FB">
        <w:rPr>
          <w:color w:val="000000"/>
        </w:rPr>
        <w:t>8 564,28</w:t>
      </w:r>
      <w:r w:rsidRPr="00922BCD">
        <w:t xml:space="preserve"> </w:t>
      </w:r>
      <w:r>
        <w:t>руб.)</w:t>
      </w:r>
      <w:r w:rsidR="007272DF">
        <w:t xml:space="preserve"> </w:t>
      </w:r>
      <w:r w:rsidRPr="00922BCD">
        <w:t xml:space="preserve">- </w:t>
      </w:r>
      <w:r w:rsidRPr="0049054E">
        <w:t>ООО «Пермский краевой информационный центр»</w:t>
      </w:r>
      <w:r>
        <w:t xml:space="preserve">. </w:t>
      </w:r>
    </w:p>
    <w:p w:rsidR="00CD68DE" w:rsidRPr="00BC1EAB" w:rsidRDefault="00CD68DE" w:rsidP="009B21B5">
      <w:pPr>
        <w:pStyle w:val="a9"/>
        <w:autoSpaceDE w:val="0"/>
        <w:autoSpaceDN w:val="0"/>
        <w:adjustRightInd w:val="0"/>
        <w:jc w:val="both"/>
      </w:pPr>
    </w:p>
    <w:p w:rsidR="00BC1EAB" w:rsidRDefault="00BC1EAB" w:rsidP="00837902">
      <w:pPr>
        <w:pStyle w:val="3"/>
        <w:ind w:hanging="283"/>
        <w:rPr>
          <w:sz w:val="24"/>
          <w:szCs w:val="24"/>
        </w:rPr>
      </w:pPr>
    </w:p>
    <w:p w:rsidR="00922BCD" w:rsidRDefault="00922BCD" w:rsidP="00922BCD">
      <w:pPr>
        <w:pStyle w:val="3"/>
        <w:ind w:hanging="283"/>
        <w:rPr>
          <w:sz w:val="24"/>
          <w:szCs w:val="24"/>
        </w:rPr>
      </w:pPr>
    </w:p>
    <w:p w:rsidR="00DD6660" w:rsidRPr="00C54DC8" w:rsidRDefault="00DD6660" w:rsidP="00DD6660">
      <w:pPr>
        <w:pStyle w:val="3"/>
        <w:ind w:hanging="283"/>
        <w:rPr>
          <w:sz w:val="24"/>
          <w:szCs w:val="24"/>
        </w:rPr>
      </w:pPr>
      <w:r w:rsidRPr="00C54DC8">
        <w:rPr>
          <w:sz w:val="24"/>
          <w:szCs w:val="24"/>
        </w:rPr>
        <w:t xml:space="preserve">Председатель комиссии                                                                                  </w:t>
      </w:r>
      <w:proofErr w:type="spellStart"/>
      <w:r w:rsidRPr="00C54DC8">
        <w:rPr>
          <w:sz w:val="24"/>
          <w:szCs w:val="24"/>
        </w:rPr>
        <w:t>А.А.Хаткевич</w:t>
      </w:r>
      <w:proofErr w:type="spellEnd"/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Ю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Петрова</w:t>
      </w:r>
      <w:proofErr w:type="spellEnd"/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DD6660" w:rsidRDefault="00DD6660" w:rsidP="00DD6660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="00837902">
        <w:t>Д</w:t>
      </w:r>
      <w:r w:rsidR="00837902" w:rsidRPr="00FF19DE">
        <w:t>.</w:t>
      </w:r>
      <w:r w:rsidR="00837902">
        <w:t>С</w:t>
      </w:r>
      <w:r w:rsidR="00837902" w:rsidRPr="00FF19DE">
        <w:t>.</w:t>
      </w:r>
      <w:r w:rsidR="00837902">
        <w:t>Боталов</w:t>
      </w:r>
      <w:proofErr w:type="spellEnd"/>
    </w:p>
    <w:p w:rsidR="00837902" w:rsidRPr="00414368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414368" w:rsidRDefault="00837902" w:rsidP="00837902">
      <w:pPr>
        <w:pStyle w:val="3"/>
        <w:ind w:left="7363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Ю</w:t>
      </w:r>
      <w:r w:rsidRPr="00414368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414368">
        <w:rPr>
          <w:sz w:val="24"/>
          <w:szCs w:val="24"/>
        </w:rPr>
        <w:t>.</w:t>
      </w:r>
      <w:r>
        <w:rPr>
          <w:sz w:val="24"/>
          <w:szCs w:val="24"/>
        </w:rPr>
        <w:t>Потеряхина</w:t>
      </w:r>
      <w:proofErr w:type="spellEnd"/>
    </w:p>
    <w:p w:rsidR="00DD6660" w:rsidRPr="00414368" w:rsidRDefault="00DD6660" w:rsidP="00837902">
      <w:pPr>
        <w:pStyle w:val="3"/>
        <w:ind w:left="7363"/>
        <w:rPr>
          <w:sz w:val="24"/>
          <w:szCs w:val="24"/>
        </w:rPr>
      </w:pPr>
    </w:p>
    <w:p w:rsidR="00837902" w:rsidRPr="00414368" w:rsidRDefault="00DD6660" w:rsidP="00837902">
      <w:pPr>
        <w:pStyle w:val="3"/>
        <w:ind w:left="7363"/>
        <w:rPr>
          <w:rFonts w:eastAsia="Calibri"/>
          <w:sz w:val="24"/>
          <w:szCs w:val="24"/>
          <w:lang w:eastAsia="en-US"/>
        </w:rPr>
      </w:pPr>
      <w:proofErr w:type="spellStart"/>
      <w:r w:rsidRPr="00C54DC8">
        <w:rPr>
          <w:rFonts w:eastAsia="Calibri"/>
          <w:sz w:val="24"/>
          <w:szCs w:val="24"/>
          <w:lang w:eastAsia="en-US"/>
        </w:rPr>
        <w:t>А</w:t>
      </w:r>
      <w:r w:rsidRPr="00414368">
        <w:rPr>
          <w:rFonts w:eastAsia="Calibri"/>
          <w:sz w:val="24"/>
          <w:szCs w:val="24"/>
          <w:lang w:eastAsia="en-US"/>
        </w:rPr>
        <w:t>.</w:t>
      </w:r>
      <w:r w:rsidRPr="00C54DC8">
        <w:rPr>
          <w:rFonts w:eastAsia="Calibri"/>
          <w:sz w:val="24"/>
          <w:szCs w:val="24"/>
          <w:lang w:eastAsia="en-US"/>
        </w:rPr>
        <w:t>Е</w:t>
      </w:r>
      <w:r w:rsidRPr="00414368">
        <w:rPr>
          <w:rFonts w:eastAsia="Calibri"/>
          <w:sz w:val="24"/>
          <w:szCs w:val="24"/>
          <w:lang w:eastAsia="en-US"/>
        </w:rPr>
        <w:t>.</w:t>
      </w:r>
      <w:r w:rsidRPr="00C54DC8">
        <w:rPr>
          <w:rFonts w:eastAsia="Calibri"/>
          <w:sz w:val="24"/>
          <w:szCs w:val="24"/>
          <w:lang w:eastAsia="en-US"/>
        </w:rPr>
        <w:t>Филиппов</w:t>
      </w:r>
      <w:proofErr w:type="spellEnd"/>
    </w:p>
    <w:p w:rsidR="00DD6660" w:rsidRPr="00414368" w:rsidRDefault="00DD6660" w:rsidP="00837902">
      <w:pPr>
        <w:pStyle w:val="3"/>
        <w:ind w:left="7363"/>
        <w:rPr>
          <w:sz w:val="24"/>
          <w:szCs w:val="24"/>
        </w:rPr>
      </w:pPr>
    </w:p>
    <w:p w:rsidR="00837902" w:rsidRPr="00414368" w:rsidRDefault="00837902" w:rsidP="00922BCD">
      <w:pPr>
        <w:pStyle w:val="3"/>
      </w:pPr>
      <w:r w:rsidRPr="00414368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FF19DE">
        <w:rPr>
          <w:rFonts w:eastAsia="Calibri"/>
          <w:sz w:val="24"/>
          <w:szCs w:val="24"/>
          <w:lang w:eastAsia="en-US"/>
        </w:rPr>
        <w:t>И</w:t>
      </w:r>
      <w:r w:rsidRPr="00414368">
        <w:rPr>
          <w:rFonts w:eastAsia="Calibri"/>
          <w:sz w:val="24"/>
          <w:szCs w:val="24"/>
          <w:lang w:eastAsia="en-US"/>
        </w:rPr>
        <w:t>.</w:t>
      </w:r>
      <w:r w:rsidRPr="00FF19DE">
        <w:rPr>
          <w:rFonts w:eastAsia="Calibri"/>
          <w:sz w:val="24"/>
          <w:szCs w:val="24"/>
          <w:lang w:eastAsia="en-US"/>
        </w:rPr>
        <w:t>А</w:t>
      </w:r>
      <w:r w:rsidRPr="00414368">
        <w:rPr>
          <w:rFonts w:eastAsia="Calibri"/>
          <w:sz w:val="24"/>
          <w:szCs w:val="24"/>
          <w:lang w:eastAsia="en-US"/>
        </w:rPr>
        <w:t>.</w:t>
      </w:r>
      <w:r w:rsidRPr="00FF19DE">
        <w:rPr>
          <w:rFonts w:eastAsia="Calibri"/>
          <w:sz w:val="24"/>
          <w:szCs w:val="24"/>
          <w:lang w:eastAsia="en-US"/>
        </w:rPr>
        <w:t>Южакова</w:t>
      </w:r>
      <w:proofErr w:type="spellEnd"/>
      <w:r w:rsidRPr="00414368">
        <w:rPr>
          <w:rFonts w:eastAsia="Calibri"/>
          <w:sz w:val="24"/>
          <w:szCs w:val="24"/>
          <w:lang w:eastAsia="en-US"/>
        </w:rPr>
        <w:t xml:space="preserve"> </w:t>
      </w:r>
    </w:p>
    <w:p w:rsidR="00F868DE" w:rsidRPr="00414368" w:rsidRDefault="00F868DE" w:rsidP="00F868DE">
      <w:pPr>
        <w:pStyle w:val="3"/>
        <w:ind w:left="0"/>
        <w:rPr>
          <w:sz w:val="24"/>
          <w:szCs w:val="24"/>
        </w:rPr>
      </w:pPr>
    </w:p>
    <w:sectPr w:rsidR="00F868DE" w:rsidRPr="00414368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56" w:rsidRDefault="00415356" w:rsidP="00A23679">
      <w:r>
        <w:separator/>
      </w:r>
    </w:p>
  </w:endnote>
  <w:endnote w:type="continuationSeparator" w:id="0">
    <w:p w:rsidR="00415356" w:rsidRDefault="00415356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56" w:rsidRDefault="00415356" w:rsidP="00A23679">
      <w:r>
        <w:separator/>
      </w:r>
    </w:p>
  </w:footnote>
  <w:footnote w:type="continuationSeparator" w:id="0">
    <w:p w:rsidR="00415356" w:rsidRDefault="00415356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32739"/>
    <w:rsid w:val="00055EC6"/>
    <w:rsid w:val="00094E3B"/>
    <w:rsid w:val="000E56D8"/>
    <w:rsid w:val="00110A7B"/>
    <w:rsid w:val="00114B52"/>
    <w:rsid w:val="001675A6"/>
    <w:rsid w:val="0018062B"/>
    <w:rsid w:val="0019655C"/>
    <w:rsid w:val="002134B1"/>
    <w:rsid w:val="002E6525"/>
    <w:rsid w:val="0032095E"/>
    <w:rsid w:val="00345462"/>
    <w:rsid w:val="003E4AD6"/>
    <w:rsid w:val="003F1454"/>
    <w:rsid w:val="003F2D6D"/>
    <w:rsid w:val="00414368"/>
    <w:rsid w:val="00415356"/>
    <w:rsid w:val="004343D8"/>
    <w:rsid w:val="004E7131"/>
    <w:rsid w:val="005216A3"/>
    <w:rsid w:val="00586659"/>
    <w:rsid w:val="005E59CD"/>
    <w:rsid w:val="00612A57"/>
    <w:rsid w:val="006A0CE8"/>
    <w:rsid w:val="006B0E04"/>
    <w:rsid w:val="00706F5D"/>
    <w:rsid w:val="007272DF"/>
    <w:rsid w:val="00733CC1"/>
    <w:rsid w:val="007F24BF"/>
    <w:rsid w:val="007F4C1E"/>
    <w:rsid w:val="007F7A8D"/>
    <w:rsid w:val="00837902"/>
    <w:rsid w:val="00860F25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87B56"/>
    <w:rsid w:val="00AB09A2"/>
    <w:rsid w:val="00AE6D13"/>
    <w:rsid w:val="00B13910"/>
    <w:rsid w:val="00B244C7"/>
    <w:rsid w:val="00BC1EAB"/>
    <w:rsid w:val="00BE2D43"/>
    <w:rsid w:val="00C346B4"/>
    <w:rsid w:val="00CD68DE"/>
    <w:rsid w:val="00CF1718"/>
    <w:rsid w:val="00CF7E6B"/>
    <w:rsid w:val="00D52CB3"/>
    <w:rsid w:val="00D52DBE"/>
    <w:rsid w:val="00DD6660"/>
    <w:rsid w:val="00DF407F"/>
    <w:rsid w:val="00EB0CD7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6C24-5CAD-498F-9976-516296D9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37</cp:revision>
  <cp:lastPrinted>2016-03-25T05:42:00Z</cp:lastPrinted>
  <dcterms:created xsi:type="dcterms:W3CDTF">2015-07-30T10:14:00Z</dcterms:created>
  <dcterms:modified xsi:type="dcterms:W3CDTF">2016-03-25T06:25:00Z</dcterms:modified>
</cp:coreProperties>
</file>