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CF430F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D2F8E" w:rsidRPr="00CF430F">
        <w:rPr>
          <w:rFonts w:ascii="Times New Roman" w:hAnsi="Times New Roman"/>
          <w:b/>
          <w:sz w:val="24"/>
          <w:szCs w:val="24"/>
        </w:rPr>
        <w:t>6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="006948D9" w:rsidRPr="006948D9">
        <w:rPr>
          <w:rFonts w:ascii="Times New Roman" w:hAnsi="Times New Roman"/>
          <w:b/>
          <w:sz w:val="24"/>
          <w:szCs w:val="24"/>
        </w:rPr>
        <w:t xml:space="preserve">от 25.04.2016 № СЭД-19-09-44  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E87EDA" w:rsidRPr="00E87EDA" w:rsidTr="000819D1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И-П-107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Карпинского, 103 / Ж-1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224 879,62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И-П-114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Рязанская, 3 / Ж-1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125 942,34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К-П-51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Кировоградская, 12 / Ц-2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35 333,16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Н-П-3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 xml:space="preserve">автодорога Новые </w:t>
            </w:r>
            <w:proofErr w:type="spellStart"/>
            <w:r w:rsidRPr="000A6A81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- Водозабор (вблизи СНТ "Пищевик") / Р-3 / Н</w:t>
            </w:r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103 486,25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О-П-14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Январская, 34 / Ж-4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16 756,53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Д-КВ-17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A6A81">
              <w:rPr>
                <w:rFonts w:ascii="Times New Roman" w:hAnsi="Times New Roman"/>
                <w:sz w:val="24"/>
                <w:szCs w:val="24"/>
              </w:rPr>
              <w:t>Мильчакова</w:t>
            </w:r>
            <w:proofErr w:type="spellEnd"/>
            <w:r w:rsidRPr="000A6A81">
              <w:rPr>
                <w:rFonts w:ascii="Times New Roman" w:hAnsi="Times New Roman"/>
                <w:sz w:val="24"/>
                <w:szCs w:val="24"/>
              </w:rPr>
              <w:t>, 23 / Ц-2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11 021,34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7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Д-КВ-19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A6A81">
              <w:rPr>
                <w:rFonts w:ascii="Times New Roman" w:hAnsi="Times New Roman"/>
                <w:sz w:val="24"/>
                <w:szCs w:val="24"/>
              </w:rPr>
              <w:t>Мильчакова</w:t>
            </w:r>
            <w:proofErr w:type="spellEnd"/>
            <w:r w:rsidRPr="000A6A81">
              <w:rPr>
                <w:rFonts w:ascii="Times New Roman" w:hAnsi="Times New Roman"/>
                <w:sz w:val="24"/>
                <w:szCs w:val="24"/>
              </w:rPr>
              <w:t>, 37 / Ж-1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11 316,82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CF430F" w:rsidRPr="00120735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8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И-П-64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>ул. Промышленная (ост.</w:t>
            </w:r>
            <w:proofErr w:type="gramEnd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"ЖБК" в город) / ПК-1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13 179,64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CF430F" w:rsidRPr="00A66C76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И-К-14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Карпинского, 67 / Ц-2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16 376,68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CF430F" w:rsidRPr="008035D3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И-П-113</w:t>
            </w:r>
          </w:p>
        </w:tc>
        <w:tc>
          <w:tcPr>
            <w:tcW w:w="1276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0A6A81" w:rsidRDefault="00CF430F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ул. Промышленная, 63 / Ц-6</w:t>
            </w:r>
            <w:proofErr w:type="gramStart"/>
            <w:r w:rsidRPr="000A6A8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86 238,54   </w:t>
            </w:r>
          </w:p>
        </w:tc>
      </w:tr>
      <w:tr w:rsidR="00CF430F" w:rsidRPr="00E87EDA" w:rsidTr="001D61CF">
        <w:tc>
          <w:tcPr>
            <w:tcW w:w="492" w:type="dxa"/>
            <w:vAlign w:val="center"/>
          </w:tcPr>
          <w:p w:rsidR="00CF430F" w:rsidRPr="00E87EDA" w:rsidRDefault="00CF430F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CF430F" w:rsidRPr="00115B21" w:rsidRDefault="00CF430F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CF430F" w:rsidRPr="00CF430F" w:rsidRDefault="00CF430F" w:rsidP="00B3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0F">
              <w:rPr>
                <w:rFonts w:ascii="Times New Roman" w:hAnsi="Times New Roman" w:cs="Times New Roman"/>
                <w:sz w:val="24"/>
                <w:szCs w:val="24"/>
              </w:rPr>
              <w:t>И-П-35</w:t>
            </w:r>
          </w:p>
        </w:tc>
        <w:tc>
          <w:tcPr>
            <w:tcW w:w="1276" w:type="dxa"/>
          </w:tcPr>
          <w:p w:rsidR="00CF430F" w:rsidRPr="00CF430F" w:rsidRDefault="00CF430F" w:rsidP="00B3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0F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30F" w:rsidRPr="00CF430F" w:rsidRDefault="00CF430F" w:rsidP="00B3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0F">
              <w:rPr>
                <w:rFonts w:ascii="Times New Roman" w:hAnsi="Times New Roman" w:cs="Times New Roman"/>
                <w:sz w:val="24"/>
                <w:szCs w:val="24"/>
              </w:rPr>
              <w:t>ул. Композитора Глинки, 10 / Ж-1</w:t>
            </w:r>
            <w:proofErr w:type="gramStart"/>
            <w:r w:rsidRPr="00CF430F">
              <w:rPr>
                <w:rFonts w:ascii="Times New Roman" w:hAnsi="Times New Roman" w:cs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30F" w:rsidRPr="000A6A81" w:rsidRDefault="00CF430F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30F" w:rsidRPr="000A6A81" w:rsidRDefault="00CF430F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65 282,58   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CF430F" w:rsidRPr="004506FE" w:rsidRDefault="00CF430F" w:rsidP="00CF430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F14FEA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CF430F" w:rsidRPr="004506FE" w:rsidRDefault="00CF430F" w:rsidP="00CF430F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lastRenderedPageBreak/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CF430F" w:rsidRPr="007730B8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CF430F" w:rsidRPr="00A44669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CF430F" w:rsidRPr="00DD4865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403 028 108 577 350 000 30 в Отделении Перм</w:t>
      </w:r>
      <w:r w:rsidR="00DD4865">
        <w:rPr>
          <w:rFonts w:ascii="Times New Roman" w:hAnsi="Times New Roman"/>
          <w:sz w:val="24"/>
          <w:szCs w:val="24"/>
        </w:rPr>
        <w:t xml:space="preserve">ь г. Пермь, БИК банка 045773001, </w:t>
      </w:r>
      <w:r w:rsidR="00DD4865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DD4865" w:rsidRPr="00DD4865">
        <w:rPr>
          <w:rFonts w:ascii="Times New Roman" w:hAnsi="Times New Roman"/>
          <w:sz w:val="24"/>
          <w:szCs w:val="24"/>
        </w:rPr>
        <w:t>КБК 00000000000000000510, ОКТМО 57701000.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Задаток должен поступить ко дню рассмотрения заявок.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Pr="00CF430F">
        <w:rPr>
          <w:rFonts w:ascii="Times New Roman" w:hAnsi="Times New Roman" w:cs="Times New Roman"/>
          <w:sz w:val="24"/>
          <w:szCs w:val="24"/>
        </w:rPr>
        <w:t>24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(по местному времени),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конкурсе до даты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8839BF">
        <w:rPr>
          <w:rFonts w:ascii="Times New Roman" w:hAnsi="Times New Roman" w:cs="Times New Roman"/>
          <w:sz w:val="24"/>
          <w:szCs w:val="24"/>
        </w:rPr>
        <w:t>приема заявок,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 xml:space="preserve">Конкурс проводится комиссией по проведению торгов (аукционов, конкурсов) </w:t>
      </w:r>
      <w:r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Pr="00DF7DA7">
        <w:rPr>
          <w:rFonts w:ascii="Times New Roman" w:hAnsi="Times New Roman" w:cs="Times New Roman"/>
          <w:sz w:val="24"/>
          <w:szCs w:val="24"/>
        </w:rPr>
        <w:br/>
      </w:r>
      <w:r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по лотам №№ 1-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30F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CF430F">
        <w:rPr>
          <w:rFonts w:ascii="Times New Roman" w:hAnsi="Times New Roman" w:cs="Times New Roman"/>
          <w:sz w:val="24"/>
          <w:szCs w:val="24"/>
        </w:rPr>
        <w:t>30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по лотам №№ 1-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30F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CF430F">
        <w:rPr>
          <w:rFonts w:ascii="Times New Roman" w:hAnsi="Times New Roman" w:cs="Times New Roman"/>
          <w:sz w:val="24"/>
          <w:szCs w:val="24"/>
        </w:rPr>
        <w:t>0</w:t>
      </w:r>
      <w:r w:rsidR="00482312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>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CF430F" w:rsidRPr="00120735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CF430F" w:rsidRPr="00120735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CF430F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на заключение Договора, либо представлены предложения по размеру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 ниже начальной цены лота.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Оценка конкурсных предложений участников по лотам №№ 1-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30F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Pr="00CF430F">
        <w:rPr>
          <w:rFonts w:ascii="Times New Roman" w:hAnsi="Times New Roman" w:cs="Times New Roman"/>
          <w:sz w:val="24"/>
          <w:szCs w:val="24"/>
        </w:rPr>
        <w:t>1</w:t>
      </w:r>
      <w:r w:rsidR="00482312">
        <w:rPr>
          <w:rFonts w:ascii="Times New Roman" w:hAnsi="Times New Roman" w:cs="Times New Roman"/>
          <w:sz w:val="24"/>
          <w:szCs w:val="24"/>
        </w:rPr>
        <w:t>4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CF430F" w:rsidRPr="00E87ED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CF430F" w:rsidRPr="00E87EDA" w:rsidRDefault="00CF430F" w:rsidP="00CF43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12</w:t>
      </w:r>
      <w:r w:rsidRPr="004506FE">
        <w:rPr>
          <w:rFonts w:ascii="Times New Roman" w:hAnsi="Times New Roman"/>
          <w:sz w:val="24"/>
          <w:szCs w:val="24"/>
        </w:rPr>
        <w:t>, тел. 212-77-24).</w:t>
      </w:r>
    </w:p>
    <w:p w:rsidR="00CF430F" w:rsidRPr="004506FE" w:rsidRDefault="00CF430F" w:rsidP="00CF4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30F" w:rsidRPr="004506FE" w:rsidRDefault="00CF430F" w:rsidP="00CF430F">
      <w:pPr>
        <w:spacing w:after="0"/>
        <w:ind w:firstLine="709"/>
        <w:jc w:val="both"/>
        <w:rPr>
          <w:sz w:val="24"/>
          <w:szCs w:val="24"/>
        </w:rPr>
      </w:pPr>
    </w:p>
    <w:sectPr w:rsidR="00CF430F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03A"/>
    <w:rsid w:val="000A7695"/>
    <w:rsid w:val="00253FEE"/>
    <w:rsid w:val="002C3903"/>
    <w:rsid w:val="002E6050"/>
    <w:rsid w:val="00304367"/>
    <w:rsid w:val="003B11C2"/>
    <w:rsid w:val="004046F0"/>
    <w:rsid w:val="004506FE"/>
    <w:rsid w:val="00453C7D"/>
    <w:rsid w:val="00482312"/>
    <w:rsid w:val="004837DB"/>
    <w:rsid w:val="004D0CA8"/>
    <w:rsid w:val="004F0C48"/>
    <w:rsid w:val="004F4E87"/>
    <w:rsid w:val="005216A3"/>
    <w:rsid w:val="00610B11"/>
    <w:rsid w:val="0061497D"/>
    <w:rsid w:val="00656441"/>
    <w:rsid w:val="00684D30"/>
    <w:rsid w:val="006948D9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65409"/>
    <w:rsid w:val="00A91CDC"/>
    <w:rsid w:val="00AD2F8E"/>
    <w:rsid w:val="00B1298D"/>
    <w:rsid w:val="00B2103A"/>
    <w:rsid w:val="00B55C9B"/>
    <w:rsid w:val="00CF430F"/>
    <w:rsid w:val="00D00C08"/>
    <w:rsid w:val="00D43074"/>
    <w:rsid w:val="00DD05B1"/>
    <w:rsid w:val="00DD4865"/>
    <w:rsid w:val="00DE0388"/>
    <w:rsid w:val="00DF7DA7"/>
    <w:rsid w:val="00E003EE"/>
    <w:rsid w:val="00E65A54"/>
    <w:rsid w:val="00E87ED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27</cp:revision>
  <cp:lastPrinted>2015-07-13T10:49:00Z</cp:lastPrinted>
  <dcterms:created xsi:type="dcterms:W3CDTF">2015-07-07T12:20:00Z</dcterms:created>
  <dcterms:modified xsi:type="dcterms:W3CDTF">2016-04-27T04:25:00Z</dcterms:modified>
</cp:coreProperties>
</file>