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F374AD" w:rsidRPr="00F374AD">
        <w:rPr>
          <w:b/>
        </w:rPr>
        <w:t>4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F3601B">
        <w:t xml:space="preserve">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0A0E0D" w:rsidRPr="000A0E0D" w:rsidRDefault="004F4711" w:rsidP="000A0E0D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0A0E0D" w:rsidRPr="000A0E0D">
        <w:rPr>
          <w:bCs/>
        </w:rPr>
        <w:t>04.04.2019 № 059-19-11-38.</w:t>
      </w:r>
    </w:p>
    <w:p w:rsidR="004F4711" w:rsidRPr="004F4711" w:rsidRDefault="004F4711" w:rsidP="000A0E0D">
      <w:pPr>
        <w:tabs>
          <w:tab w:val="left" w:pos="9355"/>
        </w:tabs>
        <w:ind w:left="-567" w:firstLine="567"/>
        <w:jc w:val="both"/>
        <w:outlineLvl w:val="0"/>
        <w:rPr>
          <w:color w:val="FF6600"/>
          <w:shd w:val="clear" w:color="auto" w:fill="FFFFFF"/>
        </w:rPr>
      </w:pPr>
      <w:bookmarkStart w:id="0" w:name="_GoBack"/>
      <w:bookmarkEnd w:id="0"/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3а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Д-Щ-18-579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36 – ул. Пожарского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Д-Щ-18-580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54 – ул. Зои Космодемьянской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Д-Щ-18-581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Д-Щ-18-590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Василия Каменского, 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38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С-Щ-18-112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92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 к.10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С-Щ-18-115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105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105а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92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(тоннель)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С-Щ-18-122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Д-Щ-18-605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Д-Щ-18-607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Докучаева, 31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Д-Щ-18-609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44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Д-Щ-18-610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30 напротив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Д-Щ-18-611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Зои Космодемьянской, 43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55 (напротив)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Пожарная, 18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М-Щ-18-707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Д-Щ-18-529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 – ул. Карпинского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С-Щ-18-1137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42/2 – ул. Куйбышева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С-Щ-18-1138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  <w:r>
              <w:rPr>
                <w:color w:val="000000"/>
              </w:rPr>
              <w:t>, 2А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С-Щ-18-1199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42/1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  <w:lang w:val="en-US"/>
        </w:rPr>
      </w:pPr>
    </w:p>
    <w:p w:rsidR="00F374AD" w:rsidRDefault="00F374AD" w:rsidP="00F374A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С-Щ-18-1200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С-Щ-18-1204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– ул. Васильева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Default="00F374AD" w:rsidP="00F374A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F374AD" w:rsidRPr="00A25D54" w:rsidRDefault="00F374AD" w:rsidP="00F374A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F374AD" w:rsidRDefault="00F374AD" w:rsidP="00983648">
            <w:pPr>
              <w:rPr>
                <w:color w:val="000000"/>
              </w:rPr>
            </w:pP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С-Щ-18-121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961B31" w:rsidRDefault="00F374AD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5200B6" w:rsidRDefault="00F374AD" w:rsidP="00983648">
            <w:r>
              <w:t>3х6</w:t>
            </w:r>
          </w:p>
        </w:tc>
      </w:tr>
      <w:tr w:rsidR="00F374AD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Default="00F374AD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AD" w:rsidRPr="009B5CAF" w:rsidRDefault="00F374AD" w:rsidP="00983648">
            <w:r>
              <w:t>8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5200B6" w:rsidRDefault="00F374AD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374AD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374AD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AD" w:rsidRPr="00A25D54" w:rsidRDefault="00F374AD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AD" w:rsidRDefault="00F374AD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74AD" w:rsidRDefault="00F374AD" w:rsidP="00F374AD"/>
    <w:p w:rsidR="00F374AD" w:rsidRPr="00C22F97" w:rsidRDefault="00F374AD" w:rsidP="00F374A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F374AD" w:rsidRPr="00C22F97" w:rsidRDefault="00F374AD" w:rsidP="00F374A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</w:t>
      </w:r>
      <w:r w:rsidRPr="00B14C0C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</w:t>
      </w:r>
      <w:r w:rsidRPr="00B14C0C">
        <w:rPr>
          <w:rFonts w:eastAsia="Courier New"/>
          <w:lang w:bidi="ru-RU"/>
        </w:rPr>
        <w:t>2</w:t>
      </w:r>
      <w:r w:rsidRPr="00D07FFE">
        <w:rPr>
          <w:rFonts w:eastAsia="Courier New"/>
          <w:lang w:bidi="ru-RU"/>
        </w:rPr>
        <w:t>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B14C0C">
        <w:rPr>
          <w:rFonts w:eastAsia="Courier New"/>
          <w:lang w:bidi="ru-RU"/>
        </w:rPr>
        <w:t>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374AD" w:rsidRPr="00A25D54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B14C0C">
        <w:rPr>
          <w:rFonts w:eastAsia="Courier New"/>
          <w:lang w:bidi="ru-RU"/>
        </w:rPr>
        <w:t>4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374AD" w:rsidRPr="00A25D54" w:rsidRDefault="00F374AD" w:rsidP="00F374AD">
      <w:pPr>
        <w:widowControl w:val="0"/>
        <w:ind w:left="-567" w:firstLine="709"/>
        <w:jc w:val="both"/>
        <w:rPr>
          <w:b/>
        </w:rPr>
      </w:pPr>
    </w:p>
    <w:p w:rsidR="00F374AD" w:rsidRPr="00423111" w:rsidRDefault="00F374AD" w:rsidP="00F374A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lastRenderedPageBreak/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F374AD" w:rsidRPr="00F374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F374AD" w:rsidRPr="00F374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F374AD" w:rsidRPr="00F374AD">
        <w:rPr>
          <w:b/>
        </w:rPr>
        <w:t>4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</w:t>
      </w:r>
      <w:r w:rsidR="00F374AD" w:rsidRPr="00F374AD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</w:t>
      </w:r>
      <w:r w:rsidR="00F374AD" w:rsidRPr="00F374AD">
        <w:rPr>
          <w:rFonts w:eastAsiaTheme="majorEastAsia"/>
          <w:bCs/>
          <w:sz w:val="24"/>
          <w:szCs w:val="24"/>
          <w:lang w:bidi="ru-RU"/>
        </w:rPr>
        <w:t>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 xml:space="preserve">(или единственного участника аукциона, </w:t>
      </w:r>
      <w:r w:rsidRPr="007B7C03">
        <w:rPr>
          <w:shd w:val="clear" w:color="auto" w:fill="FFFFFF"/>
        </w:rPr>
        <w:lastRenderedPageBreak/>
        <w:t>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B73D1E" w:rsidRPr="00B73D1E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B73D1E" w:rsidRPr="00B73D1E">
        <w:t xml:space="preserve"> </w:t>
      </w:r>
      <w:r w:rsidR="00B73D1E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374AD" w:rsidRPr="00B73D1E" w:rsidRDefault="00F374AD" w:rsidP="002F47F8">
      <w:pPr>
        <w:jc w:val="center"/>
        <w:rPr>
          <w:b/>
          <w:bCs/>
        </w:rPr>
      </w:pPr>
    </w:p>
    <w:p w:rsidR="00F374AD" w:rsidRPr="00B73D1E" w:rsidRDefault="00F374AD" w:rsidP="002F47F8">
      <w:pPr>
        <w:jc w:val="center"/>
        <w:rPr>
          <w:b/>
          <w:bCs/>
        </w:rPr>
      </w:pPr>
    </w:p>
    <w:p w:rsidR="00F374AD" w:rsidRPr="00B73D1E" w:rsidRDefault="00F374AD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F374AD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lastRenderedPageBreak/>
        <w:t xml:space="preserve">                        </w:t>
      </w:r>
      <w:r w:rsidR="00006A2D" w:rsidRPr="002F1C28">
        <w:rPr>
          <w:b/>
          <w:lang w:val="ru-RU"/>
        </w:rPr>
        <w:t xml:space="preserve">                                                               </w:t>
      </w:r>
      <w:r w:rsidR="002F1C28" w:rsidRPr="00423B3A">
        <w:rPr>
          <w:b/>
          <w:lang w:val="ru-RU"/>
        </w:rPr>
        <w:t xml:space="preserve"> </w:t>
      </w:r>
    </w:p>
    <w:p w:rsidR="008B1701" w:rsidRPr="000878F6" w:rsidRDefault="00423B3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F374AD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F374AD" w:rsidRPr="00F374AD">
        <w:rPr>
          <w:bCs/>
        </w:rPr>
        <w:t>4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B73D1E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proofErr w:type="gramStart"/>
      <w:r w:rsidRPr="00E9298D">
        <w:t>выполнена</w:t>
      </w:r>
      <w:proofErr w:type="gramEnd"/>
      <w:r w:rsidRPr="00E9298D">
        <w:t xml:space="preserve">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6C4D"/>
    <w:rsid w:val="000878F6"/>
    <w:rsid w:val="0009305A"/>
    <w:rsid w:val="000A0E0D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3D1E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5E1B-1613-4E18-A7B8-49F1D6E7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61</Pages>
  <Words>17912</Words>
  <Characters>102100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123</cp:revision>
  <cp:lastPrinted>2018-12-25T07:54:00Z</cp:lastPrinted>
  <dcterms:created xsi:type="dcterms:W3CDTF">2018-08-27T10:11:00Z</dcterms:created>
  <dcterms:modified xsi:type="dcterms:W3CDTF">2019-04-18T13:11:00Z</dcterms:modified>
</cp:coreProperties>
</file>